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2022 года № 167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ратификации Соглашения о проведении совместных контрольных мероприятий по вопросам соблюдения порядка зачисления и распределения сумм ввозных таможенных пошлин (иных пошлин, налогов и сборов, имеющих эквивалентное действие), их перечисления в доход бюджетов государств-членов Евразийского экономического союза, подписанного 16 ноября 2021 года в городе Москве"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статьями </w:t>
      </w:r>
      <w:hyperlink w:history="1" r:id="rIdqmflj11ksnxpxm9cpqj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zodc2ofe5j0xme39dr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статьями </w:t>
      </w:r>
      <w:hyperlink w:history="1" r:id="rIdkokhi0ii6av8a1t7yye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d29slkg1l-rqtsn4n3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sqbsimott_nr4-az4r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и </w:t>
      </w:r>
      <w:hyperlink w:history="1" r:id="rIdcl3avbscxcsv-m_ojq4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7xvbp1mfqdnjtz7xml6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Соглашения о проведении совместных контрольных мероприятий по вопросам соблюдения порядка зачисления и распределения сумм ввозных таможенных пошлин (иных пошлин, налогов и сборов, имеющих эквивалентное действие), их перечисления в доход бюджетов государств-членов Евразийского экономического союза, подписанного 16 ноября 2021 года в городе Москве";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08onvj4emq8gkq09df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Соглашению о проведении совместных контрольных мероприятий по вопросам соблюдения порядка зачисления и распределения сумм ввозных таможенных пошлин (иных пошлин, налогов и сборов, имеющих эквивалентное действие), их перечисления в доход бюджетов государств-членов Евразийского экономического союза, подписанному 16 ноября 2021 года в городе Москве.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Счетную палату Кыргызской Республики органом, ответственным за реализацию вышеуказанного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финансов Кыргызской Республики официальным представителем Кабинета Министров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о проведении совместных контрольных мероприятий по вопросам соблюдения порядка зачисления и распределения сумм ввозных таможенных пошлин (иных пошлин, налогов и сборов, имеющих эквивалентное действие), их перечисления в доход бюджетов государств-членов Евразийского экономического союза, подписанного 16 ноября 2021 года в городе Москве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проведении совместных контрольных мероприятий по вопросам соблюдения порядка зачисления и распределения сумм ввозных таможенных пошлин (иных пошлин, налогов и сборов, имеющих эквивалентное действие), их перечисления в доход бюджетов государств-членов Евразийского экономического союза, подписанное 16 ноября 2021 года в городе Москве.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Евразийскую экономическую комиссию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Кабинета Министров Кыргызской Республики
 от 25 марта 2022 года № 167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ЗАКЛЮЧЕНИЕ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Кабинета Министров Кыргызской Республики к Соглашению о проведении совместных контрольных мероприятий по вопросам соблюдения порядка зачисления и распределения сумм ввозных таможенных пошлин (иных пошлин, налогов и сборов, имеющих эквивалентное действие), их перечисления в доход бюджетов государств-членов Евразийского экономического союза, подписанному 16 ноября 2021 года в городе Москве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</w:t>
      </w:r>
      <w:r>
        <w:rPr>
          <w:rFonts w:ascii="Arial" w:cs="Arial" w:eastAsia="Arial" w:hAnsi="Arial"/>
          <w:sz w:val="24"/>
          <w:szCs w:val="24"/>
        </w:rPr>
        <w:t xml:space="preserve">о проведении совместных контрольных мероприятий по вопросам соблюдения порядка зачисления и распределения сумм ввозных таможенных пошлин (иных пошлин, налогов и сборов, имеющих эквивалентное действие), их перечисления в доход бюджетов государств-членов Евразийского экономического союза, подписанное 16 ноября 2021 года в городе Москве (далее - Соглашение), в целом соответствует нормам законодательства Кыргызской Республики и не противоречит международным договорам, вступившим в силу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u1z6p7ztxo1nombi_nm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проект Соглашения до его подписания был согласован с заинтересованными государственными органами.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Договором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 на таможенной территории государств-членов Евразийского экономического союза (далее - ЕАЭС) применяются единые ставки ввозных таможенных пошлин. Взысканные таможенными органами государств-членов ЕАЭС суммы ввозных таможенных пошлин подлежат распределению между бюджетами государств-членов ЕАЭС в соответствии с нормативом распределения.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Пунктом 53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о порядке зачисления и распределения сумм ввозных таможенных пошлин (иных пошлин, налогов и сборов, имеющих эквивалентное действие), их перечисления в доход бюджетов государств-членов, являющегося приложением № 5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ЕАЭС от 29 мая 2014 года, установлено, что высшие органы государственного финансового контроля государств-членов в рамках совместных контрольных мероприятий ежегодно проверяют соблюдение уполномоченными органами государств-членов положений данного Протокола.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устанавливает порядок организации и проведения высшими органами государственного финансового контроля совместных контрольных мероприятий по вопросам соблюдения уполномоченными органами государств-членов ЕАЭС порядка зачисления и распределения сумм ввозных таможенных пошлин (иных пошлин, налогов и сборов, имеющих эквивалентное действие), их перечисления в доход бюджетов государств-членов ЕАЭС.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до подписания в установленном порядке прошло процедуру согласования с профильными комитетами Жогорку Кенеша Кыргызской Республики: Комитетом по международным делам, обороне и безопасности от 22 мая 2019 года; Комитетом по бюджету и финансам от 20 марта 2019 года и одобрено </w:t>
      </w:r>
      <w:hyperlink w:history="1" r:id="rIdifaa58rmkilhv968xou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ноября 2019 года № 436-р.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позволит обеспечить участие Кыргызской Республики в проведении ежегодного аудита по вопросу правильности зачисления и распределения между бюджетами государств-членов ЕАЭС сумм ввозных таможенных пошлин.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не повлечет негативных финансово-экономических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rn4g-uu-hzxa2torfw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dalil.kg/document/159141</w:t>
      </w:r>
    </w:hyperlink>
  </w:p>
  <w:p>
    <w:pPr>
      <w:spacing w:after="0" w:before="40"/>
      <w:jc w:val="center"/>
    </w:pPr>
    <w:hyperlink w:history="1" r:id="rIdcfkm5vppl0cleeay8ab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mflj11ksnxpxm9cpqjf_" Type="http://schemas.openxmlformats.org/officeDocument/2006/relationships/hyperlink" Target="https://dalil.kg/document/112213#st_80" TargetMode="External"/><Relationship Id="rIdtzodc2ofe5j0xme39drie" Type="http://schemas.openxmlformats.org/officeDocument/2006/relationships/hyperlink" Target="https://dalil.kg/document/112213#st_85" TargetMode="External"/><Relationship Id="rIdkokhi0ii6av8a1t7yye9g" Type="http://schemas.openxmlformats.org/officeDocument/2006/relationships/hyperlink" Target="https://dalil.kg/document/112301#st_13" TargetMode="External"/><Relationship Id="rIdkd29slkg1l-rqtsn4n3y-" Type="http://schemas.openxmlformats.org/officeDocument/2006/relationships/hyperlink" Target="https://dalil.kg/document/112301#st_17" TargetMode="External"/><Relationship Id="rIdksqbsimott_nr4-az4rox" Type="http://schemas.openxmlformats.org/officeDocument/2006/relationships/hyperlink" Target="https://dalil.kg/document/112301#st_27" TargetMode="External"/><Relationship Id="rIdcl3avbscxcsv-m_ojq4nk" Type="http://schemas.openxmlformats.org/officeDocument/2006/relationships/hyperlink" Target="https://dalil.kg/document/205286" TargetMode="External"/><Relationship Id="rIdt7xvbp1mfqdnjtz7xml67" Type="http://schemas.openxmlformats.org/officeDocument/2006/relationships/hyperlink" Target="https://dalil.kg/document/159141#pr1" TargetMode="External"/><Relationship Id="rId208onvj4emq8gkq09df0f" Type="http://schemas.openxmlformats.org/officeDocument/2006/relationships/hyperlink" Target="https://dalil.kg/document/159141#pr2" TargetMode="External"/><Relationship Id="rIdu1z6p7ztxo1nombi_nmh-" Type="http://schemas.openxmlformats.org/officeDocument/2006/relationships/hyperlink" Target="https://dalil.kg/document/205286" TargetMode="External"/><Relationship Id="rIdifaa58rmkilhv968xouqs" Type="http://schemas.openxmlformats.org/officeDocument/2006/relationships/hyperlink" Target="https://dalil.kg/document/215418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rn4g-uu-hzxa2torfwtm" Type="http://schemas.openxmlformats.org/officeDocument/2006/relationships/hyperlink" Target="https://dalil.kg/document/159141" TargetMode="External"/><Relationship Id="rIdcfkm5vppl0cleeay8aby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2026-09-30T08:23:54.825Z</dcterms:created>
  <dcterms:modified xsi:type="dcterms:W3CDTF">2026-09-30T08:23:54.825Z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