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szlwnishamizj-tfc1-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z6gpoagtgxed3d2meo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2024 года № 361, </w:t>
        </w:r>
      </w:hyperlink>
      <w:hyperlink w:history="1" r:id="rIdy9but85hnxr_1p3ii6q7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499, </w:t>
        </w:r>
      </w:hyperlink>
      <w:hyperlink w:history="1" r:id="rIdaxxvjawypxkjqfkln4m0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l9v8sx9qg_34fhbim_7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2025 года № 146, </w:t>
        </w:r>
      </w:hyperlink>
      <w:hyperlink w:history="1" r:id="rIdhzf9aqhmil-vpir5wbu9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2025 года № 179, </w:t>
        </w:r>
      </w:hyperlink>
      <w:hyperlink w:history="1" r:id="rIdi0-5vs3tdcqh4gcttsn_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2025 гогда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lcnnt3dmjvw7zpm6sy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 811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</w:t>
      </w:r>
      <w:r>
        <w:rPr>
          <w:rFonts w:ascii="Arial" w:cs="Arial" w:eastAsia="Arial" w:hAnsi="Arial"/>
          <w:sz w:val="24"/>
          <w:szCs w:val="24"/>
        </w:rPr>
        <w:t xml:space="preserve">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220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Соглашения о механизме прослеживаемости товаров, ввезенных на таможенную территорию Евразийского экономического союза, от 29 мая 2019 года, а также усиления контроля за оборотом товаров на территории Кыргызской Республики, в том числе нефтепродуктов и товаров, подлежащих маркировке средствами идентификации, в соответствии со статьями </w:t>
      </w:r>
      <w:hyperlink w:history="1" r:id="rIdu9dc42bvnyhbrkheqva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hhsotgvvtxkxn28ptr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127 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_bvwu2z8ifis6juvqmc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-huuudhatzhiba7zon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Министров КР от </w:t>
      </w:r>
      <w:hyperlink w:history="1" r:id="rIdxh2hxm5igva6_fiiifc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kps8eow_kvai7ukpqm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применения и формирования электронной товаротранспортной накладной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zb2abe_uaclofkflbb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учета и контроля нефти и нефтепродуктов на территории Кыргызской Республики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kaoagzpvfskr-hjydw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Технические 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электронной системе учета и контроля нефти и нефтепродуктов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idd_rn8slkoztrnw8m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</w:t>
        </w:r>
      </w:hyperlink>
      <w:r>
        <w:rPr>
          <w:rFonts w:ascii="Arial" w:cs="Arial" w:eastAsia="Arial" w:hAnsi="Arial"/>
          <w:sz w:val="24"/>
          <w:szCs w:val="24"/>
        </w:rPr>
        <w:t xml:space="preserve">применения каталога товаров на территории Кыргызской Республики согласно приложению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Министров КР от </w:t>
      </w:r>
      <w:hyperlink w:history="1" r:id="rIdblabueyn4aupohgsway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Порядок применения контрольных пломб на нефтепродукты утверждается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крайний срок применения контрольных пломб на бензин и дизельное топливо, маркированное топливным маркеромна территории Кыргызской Республики 31 декабря 2025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8psht5wdozv1ehawndk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2024 года № 361, 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6as-u1nvziocgrfiro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499, </w:t>
        </w:r>
      </w:hyperlink>
      <w:hyperlink w:history="1" r:id="rIdxpekbl0b-ejoscsdd62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апреля 2025 года № 179, </w:t>
        </w:r>
      </w:hyperlink>
      <w:hyperlink w:history="1" r:id="rIdjdut8ssouewjckm-u_x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субъект обязан применять электронную товаротранспортную накладную в порядке, установленном </w:t>
      </w:r>
      <w:hyperlink w:history="1" r:id="rIdat92at48lz5xgqid6gi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15 мая 2022 года - в отношении нефти и нефтепродуктов (за исключением масел смазочных и масел прочих под кодами ТНВЭД 2710197100-2710199800), товаров, подлежащих маркировке средствами идентификации на территории Кыргызской Республики, а также пива расфасованного и нефасованного, классифицируемых в товарной позиции ТН ВЭД 2203;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1 июля 2022 года -</w:t>
      </w:r>
      <w:r>
        <w:rPr>
          <w:rFonts w:ascii="Arial" w:cs="Arial" w:eastAsia="Arial" w:hAnsi="Arial"/>
          <w:sz w:val="24"/>
          <w:szCs w:val="24"/>
        </w:rPr>
        <w:t xml:space="preserve"> в отношении </w:t>
      </w:r>
      <w:r>
        <w:rPr>
          <w:rFonts w:ascii="Arial" w:cs="Arial" w:eastAsia="Arial" w:hAnsi="Arial"/>
          <w:sz w:val="24"/>
          <w:szCs w:val="24"/>
        </w:rPr>
        <w:t xml:space="preserve">товаров, включенных в перечень, утвержденный Евразийской экономической комиссией в соответствии с Соглашением о механизме прослеживаемости товаров, ввезенных на таможенную территорию Евразийского экономического союза;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pvhhirumstwg5erucbc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2025 года № 146 )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a5pdoegxtd4kzlodf6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2025 года № 146 )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 1 января 2027 года - в отношении лекарственных средств и медицинских изделий, подлежащих цифровой маркировке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57l7aea5bekjrgyncd4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179, </w:t>
        </w:r>
      </w:hyperlink>
      <w:hyperlink w:history="1" r:id="rIdwjz1bpnmkl6cdvksr8y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499, </w:t>
        </w:r>
      </w:hyperlink>
      <w:hyperlink w:history="1" r:id="rIdywbfsuaxapwbxyjjz38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idnpm34t7tbmlz_uqd5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2025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субъект: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вправе в срок до 1 апреля 2026 года формировать документы в модуле "Электронная товаротранспортная накладная" без указания кодов идентификации (в том числе кодов идентификации групповых упаковок)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обязан до наступления срока обязательного применения электронной товаротранспортной накладной в отношении товаров обеспечить приведение остатков указанных товаров в модуле электронной товаротранспортной накладной в соответствии с их фактическими остатками.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обязан в течение 6 месяцев с момента утверждения уполномоченным налоговым органом порядка передачи данных об остатках, отгруженных объемах нефти и нефтепродуктов, а также показателей счетных механизмов топливораздаточной колонки, обеспечить ежемесячную передачу сведений в информационную систему уполномоченного налогового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ov8jecaxzpksvbibw5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2025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bzmhwalngnmlqoabdq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 811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налоговой службе при Министерстве финансов Кыргызской Республики на системной основе проводить разъяснительную и информационную работу среди субъектов экономической деятельности по применению электронной товаротранспортной накладной.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2pym1itoxlflm3dahs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учете и контроле нефти и нефтепродуктов на территории Кыргызской Республики" от 17 сентября 2019 года № 482;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</w:t>
      </w:r>
      <w:hyperlink w:history="1" r:id="rIdhqsdszmgbljcqcylazg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электронной системы фискализации налоговых процедур" от 17 декабря 2019 года № 691;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постановления Правительства Кыргызской Республики "О внесении изменений в некоторые решения Правительства Кыргызской Республики по вопросам внедрения электронной системы фискализации налоговых процедур" от 30 марта 2020 года № 191.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 пятнадцатого мая 2022 года.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применения и формирования электронной товаротранспортной накладной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_ajsf1mc9lvra_1gno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lx1twaks0wkn-krgog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zs6azzlevhzynky1d8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8mjju6kzj9zbhzadtsfr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2025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со </w:t>
      </w:r>
      <w:hyperlink w:history="1" r:id="rIdi6alvgibfsfa6woj01c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Соглашением о механизме прослеживаемости товаров, ввезенных на таможенную территорию Евразийского экономического союза, от 29 мая 2019 года и определяет порядок оборота товаров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применяются следующие понятия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модуль "Электронная товаротранспортная накладная" (далее - модуль ЭТТН)</w:t>
      </w:r>
      <w:r>
        <w:rPr>
          <w:rFonts w:ascii="Arial" w:cs="Arial" w:eastAsia="Arial" w:hAnsi="Arial"/>
          <w:sz w:val="24"/>
          <w:szCs w:val="24"/>
        </w:rPr>
        <w:t xml:space="preserve"> - модуль информационной системы налогового администрирования Кыргызской Республики, посредством которого субъектом формируется и применяется электронная товаротранспортная накладная;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склад учета товаров</w:t>
      </w:r>
      <w:r>
        <w:rPr>
          <w:rFonts w:ascii="Arial" w:cs="Arial" w:eastAsia="Arial" w:hAnsi="Arial"/>
          <w:sz w:val="24"/>
          <w:szCs w:val="24"/>
        </w:rPr>
        <w:t xml:space="preserve"> - часть модуля ЭТТН, предназначенная для учета производственных и торговых объектов, складских помещений, строительных объектов и других объектов субъекта (далее - объекты экономической деятельности), обязанного применять электронную товаротранспортную накладную;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учетная система субъекта</w:t>
      </w:r>
      <w:r>
        <w:rPr>
          <w:rFonts w:ascii="Arial" w:cs="Arial" w:eastAsia="Arial" w:hAnsi="Arial"/>
          <w:sz w:val="24"/>
          <w:szCs w:val="24"/>
        </w:rPr>
        <w:t xml:space="preserve"> - система бухгалтерского и налогового учета, содержащая данные первичных учетных документов, регистров бухгалтерского учета, информацию об объектах налогообложения и/или объектах, связанных с налогообложением, которая ведется для исполнения налогового обязательства;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товаротранспортная накладная (далее - ЭТТН)</w:t>
      </w:r>
      <w:r>
        <w:rPr>
          <w:rFonts w:ascii="Arial" w:cs="Arial" w:eastAsia="Arial" w:hAnsi="Arial"/>
          <w:sz w:val="24"/>
          <w:szCs w:val="24"/>
        </w:rPr>
        <w:t xml:space="preserve"> - сопроводительный документ, оформляемый и формируемый субъектом по форме, утверждаемой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Термины и определения, используемые в настоящем Порядке, трактуются в значении, определенном настоящим Порядком. В случае отсутствия трактовки терминов и определений в настоящем Порядке, термины и определения трактуются в значении, определенном соответствующим законодательством Кыргызской Республики и/или правом Евразийского экономического союза (далее - ЕАЭС).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территории Кыргызской Республики оборот товаров осуществляется с обязательным применением ЭТТН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реализации товаров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экспорте товаров с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возврате товаров покупателем, за исключением возврата товаров, реализованных населению;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передаче давальческого сырья и продуктов его переработки;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передаче товаров принципалом агенту для его реализации от имени агента на основе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безвозмездной передаче товаров другим субъектам;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перемещении товаров в пределах одного субъекта или между его филиалами.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территории Кыргызской Республики оборот товаров может осуществляться без применения ЭТТН при: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расчетах с населением;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-elnui-8-jbwayk4sv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2025 года № 146 )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ew__48vqujugq6egop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2025 года № 146 )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jilczsdgnbanyenaxk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2025 года № 146 )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6abq03ehydg4ozt8htox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2025 года № 146 )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поставке или импорте/ввозе товаров, необходимых для ликвидации последствий стихийных бедствий, чрезвычайных ситуаций природного и техногенного характера;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tahiguzqm3yxqs-nze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2025 года № 146 )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w1nheqcrur5f9rrfpt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2025 года № 146 )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перемещении товаров между территориальными подразделениями и/или структурными единицами государственного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передаче товаров в виде гуманитарной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поставке субъектом свободных экономических зон товаров с территории свободных экономических зон на территорию Кыргызской Республики в соответствии с таможенным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импорте/ввозе товаров на территорию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реализации через розничные сети продаж товаров посредством талонов, карт, подарочных сертификатов с применением контрольно-кассовых машин в целях дальнейшего потребления покупателем, за исключением потребления данных товаров в производстве или дальнейшей реализации;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hlwciuq4jkryjhgnj5_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2025 года № 146 )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jcsjj5yc6_7pos9ep7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2025 года № 146 )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поставке товаров, предназначенных для выращивания сельскохозяйственной продукции растительного и животного происхождения, в адрес крестьянского (фермерского) хозяйства без образования юридического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1pqxoisebrdrkh4o6dr-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2025 года № 146 )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cxpzvh06q1aywadzhcys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efhyug1zbmiystxdqz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irsu661rjpuw0b-gyrd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2025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работы в модуле ЭТТН субъект обязан применять каталог товаров в соответствии с порядком, определенным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Модуль ЭТТН обеспечивает формирование ЭТТН и хранение информации в течение срока исковой давности, установленного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Форма ЭТТН и порядок ее оформления определяются уполномоченным налоговым органом и подлежат размещению на официальном сайте уполномоченного налогового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регистрации и аннулирования субъекта в модуле ЭТТН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Регистрация субъекта в модуле ЭТТН осуществляется посредством кабинета налогоплательщика. Порядок получения субъектом доступа к его кабинету определяется уполномоченным налоговым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работы в модуле ЭТТН, в том числе для приобретения/получения товаров, субъект обязан создать склад учета товаров, за исключением: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физического лица, не осуществляющего предпринимательскую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дипломатических представительств и консульских учреждений зарубежных стран согласно перечню, представляемому уполномоченным государственным органом в сфере иностранных дел уполномоченному налоговому органу;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представительств международных организаций, за исключением осуществляющих предпринимательскую деятельность, на основании международных договоров, вступивших в силу в соответствии с законодательством Кыргызской Республики, согласно перечню, представляемому уполномоченным государственным органом в сфере иностранных дел уполномоченному налоговому органу;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государственных общеобразовательных и дошкольных образовательных организаций, за исключением осуществляющих торговую и/или производственную деятельность, согласно перечню представляемому уполномоченным государственным органом, вырабатывающим единую государственную политику в области образования, уполномоченному налоговому органу;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крестьянского (фермерского) хозяйства без образования юридического лица и занимающегося реализацией сельскохозяйственной продукции растительного и животного происхождения собственного производства, кроме продуктов переработки такой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snsnrlatto-hetjq6xp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модуле ЭТТН склад учета товаров создается с указанием адреса фактического нахождения объекта экономической деятельности, за исключением случаев, указанных в пункте 11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модуле ЭТТН допускается создание склада учета товаров с указанием только юридического адреса: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государственным органом, уполномоченным осуществлять исполнительные, контрольные функции, в том числе управление системой государственного материального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уполномоченным государственным органом в сфере обеспечения национальной безопасности, государственным органом исполнительной власти, ведающим вопросами обороны, органами внутренних дел без указания адресов их подведомственных и структурных подразделений, в том числе воинских частей и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закрытия объекта экономической деятельности субъект обязан ликвидировать склад учета товаров в модуле ЭТТН. Склад учета товаров подлежит ликвидации в модуле ЭТТН при условии отсутствия остатка товаров на складе учета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Налоговый орган имеет право принять меры по временному приостановлению работы субъекта в модуле ЭТТН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нарушения требований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отсутствия субъекта и/или объекта экономической деятельности по фактическому адресу, указанному в модуле ЭТТН при создании склада учета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отсутствия фактических остатков товаров при их наличии на складе учета товаров модуля ЭТТН;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приостановления действия учетной записи в качестве участника электронного документооборота в информационной системе счетов-фактур в виде электронных документов в порядке, определяемом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исправления и/или неподтверждения случаев, указанных в пункте 13 настоящего Порядка, налоговый орган возобновляет работу субъекта в модуле ЭТТН.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временного приостановления и возобновления работы субъекта в модуле ЭТТН определяется уполномоченным налоговым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8do_34xxcie_f7kf2tl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2025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Аннулирование регистрации субъекта в модуле ЭТТН осуществляется в случае прекращения деятельности субъекта и/или аннулирования налоговой регистрации до прекращения деятельности субъекта и/или начала процедуры аннулирования налоговой регистрации при условии отсутствия остатка товаров на складе учета товаров.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Формирование и применение ЭТТН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формирования и применения ЭТТН субъектом товары должны быть введены в каталог товаров в соответствии с порядком, определенным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Оформление/получение ЭТТН осуществляется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модуля ЭТТН;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учетных систем субъекта, интегрированных с модулем ЭТТН, в порядке, определяемом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Датой формирования ЭТТН считается дата подтверждения отправки ЭТТН.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ЭТТН считается сформированной, если содержит сгенерированный в модуле номер ЭТТН и QR-код.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Оригиналом ЭТТН, то есть подлинником, является электронный документ, сформированный в модуле ЭТТН.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модуле ЭТТН субъектом осуществляются следующие операции: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оприходование;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перемещение;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возврат;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списание.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выполнения операций с товарами, подлежащими обязательной маркировке средствами идентификации, документ в обязательном порядке формируется с указанием кодов идентификации (в том числе кодов идентификации групповых упаковок, кодов идентификации транспортных упаковок)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Субъект обязан оприходовать товары на склад учета товаров в модуле ЭТТН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импорте товаров, за исключением импорта товаров государственными органами и его структурными подразделениями, если они не предназначены для дальнейшей реализации;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производстве (изготовлении);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выявлении неучтенных товаров в ходе проведения налогового контроля в порядке, определяемом уполномоченным налоговым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приеме (купле) от населения их личных товаров для последующей продажи или переработки, на основании контрольно-кассового чека;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u6kexw0dhf3xq5vghy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2025 года № 146 )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других случаях перехода права собственности на товары, за исключением случаев перехода права собственности на товары при совершении операций, указанных в пункте 3 настоящего Порядка, при наличии удостоверяющих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duba5hjwtip-huy1di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2025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Оприходование товаров на склад учета товаров в модуле ЭТТН осуществляется в порядке и сроки, установленные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реализации товаров ЭТТН формируется субъектом до отгрузки (передачи) товара с объекта экономической деятельности субъекту, зарегистрированному в модуле ЭТТН.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реализации товаров субъектам, указанным в подпунктах 2, 3 и 4 пункта 9 настоящего Порядка, ЭТТН оформляется в адрес субъектов согласно перечню, указанному в модуле ЭТТН, после формирования ЭТТН документу автоматически присваивается статус "Принят".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-m8ommohb_aeipkqdk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2025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экспорте товаров ЭТТН формируется до отгрузки (передачи) товара с объекта экономической деятельности с указанием наименования и кода страны в соответствии с Межгосударственным классификатором стран мира, после формирования ЭТТН документу автоматически присваивается статус "Принят".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после оформления ЭТТН на экспорт субъект установил, что указанные в ЭТТН сведения требуют изменения, субъект в праве возвратить оформленный документ в порядке и сроки, определяемые уполномоченным налоговым органом, с дальнейшим оформлением новой ЭТТН.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p6ofo5qa1tkgp_va5u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2025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внутреннем перемещении товаров на территории Кыргызской Республики из одного места хранения такого товара в другое в пределах одного субъекта, не предусматривающем перехода права собственности на эти товары, включая перемещения между филиалами, субъект формирует ЭТТН в модуле ЭТТН с указанием адреса места отправки и пункта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возврате ранее приобретенных товаров ЭТТН оформляется в модуле ЭТТН покупателем до отгрузки (передачи) обратно в сторону поставщика, за исключением случаев возврата товаров при экспорте, который формируется согласно пункту 24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Списание товаров в модуле ЭТТН осуществляется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поставка товаров населению;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использование приобретенных товаров, в том числе в производстве (изготовлении);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утрата и порча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естественная убыль и технологические потери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выявление в ходе налогового контроля отсутствия фактических остатков товаров при их наличии на складе учета товаров в модуле ЭТТН;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передача товаров в виде гуманитарной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поставки товаров, указанные в подпунктах 6, 11, 13, 16 пункта 4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другие случаи при наличии удостоверяющих документов, за исключением обстоятельств, указанных в пункте 3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78k4l_y8cvn89xezwl9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ds4j86zn50pbcbskyn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k_qthur7xt1fr2qagcl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2025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Списание товаров осуществляется в порядке и сроки, установленные уполномоченным налоговым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получении ЭТТН покупатель/получатель: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подтверждает принятие ЭТТН;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отказывает в получении ЭТТН в связи с: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получением ЭТТН с неверными данными или требующим внесения изменений. При этом поставщик/отправитель обязан выписать новый ЭТТН с указанием данных отклоненного ЭТТН;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отменой поставки и отказом от получения товаров. В случае если отправленные товары не возвращаются на объект экономической деятельности, поставщик/отправитель обязан выписать новый ЭТТН с указанием данных отклоненного ЭТТН.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txrng7njqchbzkfi7x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2025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отказе в принятии ЭТТН данная ЭТТН считается отклоненной.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покупатель/получатель не подтвердил или не отклонил ЭТТН в течение 10 календарных дней, данная ЭТТН считается подтвержденной.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если поставщик/отправитель до истечения 10 календарных дней с момента отправки ЭТТН отозвал непринятую ЭТТН, данная ЭТТН считается отозванной.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отзыве ЭТТН поставщик/отправитель указывает следующие причины отзыва: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неверные данные в сформированном ЭТТН или данные, требующие внесения изменений. При этом поставщик/отправитель обязан выписать новый ЭТТН с указанием данных отозванного ЭТТН;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отмена поставки и отказ от получения товаров получателем. В случае если отправленные товары не возвращаются на объект экономической деятельности, поставщик/отправитель обязан выписать новый ЭТТН с указанием данных отозванного ЭТТН.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ver60hwlloeoixx61e9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2025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Отзыв ЭТТН невозможен после ее подтверждения со стороны покупателя/получателя.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Порядок оформления, применения и формирования ЭТТН в случае возникновения обстоятельств непреодолимой силы определяется уполномоченным налоговым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zlwnishamizj-tfc1-au" Type="http://schemas.openxmlformats.org/officeDocument/2006/relationships/hyperlink" Target="http://kodeks.duckdns.org/document/230005428" TargetMode="External"/><Relationship Id="rIdlz6gpoagtgxed3d2meodw" Type="http://schemas.openxmlformats.org/officeDocument/2006/relationships/hyperlink" Target="http://kodeks.duckdns.org/document/230011268" TargetMode="External"/><Relationship Id="rIdy9but85hnxr_1p3ii6q7i" Type="http://schemas.openxmlformats.org/officeDocument/2006/relationships/hyperlink" Target="http://kodeks.duckdns.org/document/230012708" TargetMode="External"/><Relationship Id="rIdaxxvjawypxkjqfkln4m0r" Type="http://schemas.openxmlformats.org/officeDocument/2006/relationships/hyperlink" Target="http://kodeks.duckdns.org/document/230020794" TargetMode="External"/><Relationship Id="rIdl9v8sx9qg_34fhbim_7xg" Type="http://schemas.openxmlformats.org/officeDocument/2006/relationships/hyperlink" Target="http://kodeks.duckdns.org/document/230025214" TargetMode="External"/><Relationship Id="rIdhzf9aqhmil-vpir5wbu9g" Type="http://schemas.openxmlformats.org/officeDocument/2006/relationships/hyperlink" Target="http://kodeks.duckdns.org/document/230037949" TargetMode="External"/><Relationship Id="rIdi0-5vs3tdcqh4gcttsn_v" Type="http://schemas.openxmlformats.org/officeDocument/2006/relationships/hyperlink" Target="http://kodeks.duckdns.org/document/230030441" TargetMode="External"/><Relationship Id="rIdrlcnnt3dmjvw7zpm6symb" Type="http://schemas.openxmlformats.org/officeDocument/2006/relationships/hyperlink" Target="http://kodeks.duckdns.org/document/230037927" TargetMode="External"/><Relationship Id="rIdu9dc42bvnyhbrkheqvajf" Type="http://schemas.openxmlformats.org/officeDocument/2006/relationships/hyperlink" Target="http://kodeks.duckdns.org/document/112340#st_51" TargetMode="External"/><Relationship Id="rIdbhhsotgvvtxkxn28ptr2b" Type="http://schemas.openxmlformats.org/officeDocument/2006/relationships/hyperlink" Target="http://kodeks.duckdns.org/document/112340#st_127" TargetMode="External"/><Relationship Id="rId_bvwu2z8ifis6juvqmcno" Type="http://schemas.openxmlformats.org/officeDocument/2006/relationships/hyperlink" Target="http://kodeks.duckdns.org/document/112301#st_13" TargetMode="External"/><Relationship Id="rIdd-huuudhatzhiba7zon_c" Type="http://schemas.openxmlformats.org/officeDocument/2006/relationships/hyperlink" Target="http://kodeks.duckdns.org/document/112301#st_17" TargetMode="External"/><Relationship Id="rIdxh2hxm5igva6_fiiifcag" Type="http://schemas.openxmlformats.org/officeDocument/2006/relationships/hyperlink" Target="http://kodeks.duckdns.org/document/230005428" TargetMode="External"/><Relationship Id="rIdtkps8eow_kvai7ukpqm5l" Type="http://schemas.openxmlformats.org/officeDocument/2006/relationships/hyperlink" Target="http://kodeks.duckdns.org/document/159151#pr1" TargetMode="External"/><Relationship Id="rIdrzb2abe_uaclofkflbbh0" Type="http://schemas.openxmlformats.org/officeDocument/2006/relationships/hyperlink" Target="http://kodeks.duckdns.org/document/230011359" TargetMode="External"/><Relationship Id="rIdskaoagzpvfskr-hjydwl8" Type="http://schemas.openxmlformats.org/officeDocument/2006/relationships/hyperlink" Target="http://kodeks.duckdns.org/document/159151#pr3" TargetMode="External"/><Relationship Id="rIdgidd_rn8slkoztrnw8m5k" Type="http://schemas.openxmlformats.org/officeDocument/2006/relationships/hyperlink" Target="http://kodeks.duckdns.org/document/230021097" TargetMode="External"/><Relationship Id="rIdblabueyn4aupohgswaylb" Type="http://schemas.openxmlformats.org/officeDocument/2006/relationships/hyperlink" Target="http://kodeks.duckdns.org/document/230005428" TargetMode="External"/><Relationship Id="rId8psht5wdozv1ehawndkmo" Type="http://schemas.openxmlformats.org/officeDocument/2006/relationships/hyperlink" Target="http://kodeks.duckdns.org/document/230011268" TargetMode="External"/><Relationship Id="rIdo6as-u1nvziocgrfirolp" Type="http://schemas.openxmlformats.org/officeDocument/2006/relationships/hyperlink" Target="http://kodeks.duckdns.org/document/230012708" TargetMode="External"/><Relationship Id="rIdxpekbl0b-ejoscsdd62de" Type="http://schemas.openxmlformats.org/officeDocument/2006/relationships/hyperlink" Target="http://kodeks.duckdns.org/document/230037949" TargetMode="External"/><Relationship Id="rIdjdut8ssouewjckm-u_x_n" Type="http://schemas.openxmlformats.org/officeDocument/2006/relationships/hyperlink" Target="http://kodeks.duckdns.org/document/230030441" TargetMode="External"/><Relationship Id="rIdat92at48lz5xgqid6gigm" Type="http://schemas.openxmlformats.org/officeDocument/2006/relationships/hyperlink" Target="http://kodeks.duckdns.org/document/159151#pr1" TargetMode="External"/><Relationship Id="rIdppvhhirumstwg5erucbc9" Type="http://schemas.openxmlformats.org/officeDocument/2006/relationships/hyperlink" Target="http://kodeks.duckdns.org/document/230025214" TargetMode="External"/><Relationship Id="rIdva5pdoegxtd4kzlodf6ol" Type="http://schemas.openxmlformats.org/officeDocument/2006/relationships/hyperlink" Target="http://kodeks.duckdns.org/document/230025214" TargetMode="External"/><Relationship Id="rId957l7aea5bekjrgyncd4d" Type="http://schemas.openxmlformats.org/officeDocument/2006/relationships/hyperlink" Target="http://kodeks.duckdns.org/document/230005428" TargetMode="External"/><Relationship Id="rIdwjz1bpnmkl6cdvksr8yqx" Type="http://schemas.openxmlformats.org/officeDocument/2006/relationships/hyperlink" Target="http://kodeks.duckdns.org/document/230012708" TargetMode="External"/><Relationship Id="rIdywbfsuaxapwbxyjjz38ox" Type="http://schemas.openxmlformats.org/officeDocument/2006/relationships/hyperlink" Target="http://kodeks.duckdns.org/document/230020794" TargetMode="External"/><Relationship Id="rIdidnpm34t7tbmlz_uqd5gb" Type="http://schemas.openxmlformats.org/officeDocument/2006/relationships/hyperlink" Target="http://kodeks.duckdns.org/document/230025214" TargetMode="External"/><Relationship Id="rIdlov8jecaxzpksvbibw5im" Type="http://schemas.openxmlformats.org/officeDocument/2006/relationships/hyperlink" Target="http://kodeks.duckdns.org/document/230025214" TargetMode="External"/><Relationship Id="rId0bzmhwalngnmlqoabdqie" Type="http://schemas.openxmlformats.org/officeDocument/2006/relationships/hyperlink" Target="http://kodeks.duckdns.org/document/230037927" TargetMode="External"/><Relationship Id="rIde2pym1itoxlflm3dahsgt" Type="http://schemas.openxmlformats.org/officeDocument/2006/relationships/hyperlink" Target="http://kodeks.duckdns.org/document/157096" TargetMode="External"/><Relationship Id="rIdhqsdszmgbljcqcylazgql" Type="http://schemas.openxmlformats.org/officeDocument/2006/relationships/hyperlink" Target="http://kodeks.duckdns.org/document/157391" TargetMode="External"/><Relationship Id="rIdo_ajsf1mc9lvra_1gnobz" Type="http://schemas.openxmlformats.org/officeDocument/2006/relationships/hyperlink" Target="http://kodeks.duckdns.org/document/230005428" TargetMode="External"/><Relationship Id="rIdjlx1twaks0wkn-krgogzu" Type="http://schemas.openxmlformats.org/officeDocument/2006/relationships/hyperlink" Target="http://kodeks.duckdns.org/document/230012708" TargetMode="External"/><Relationship Id="rIdhzs6azzlevhzynky1d8dp" Type="http://schemas.openxmlformats.org/officeDocument/2006/relationships/hyperlink" Target="http://kodeks.duckdns.org/document/230020794" TargetMode="External"/><Relationship Id="rId8mjju6kzj9zbhzadtsfr9" Type="http://schemas.openxmlformats.org/officeDocument/2006/relationships/hyperlink" Target="http://kodeks.duckdns.org/document/230025214" TargetMode="External"/><Relationship Id="rIdi6alvgibfsfa6woj01ccv" Type="http://schemas.openxmlformats.org/officeDocument/2006/relationships/hyperlink" Target="http://kodeks.duckdns.org/document/112340#st_127" TargetMode="External"/><Relationship Id="rIds-elnui-8-jbwayk4svro" Type="http://schemas.openxmlformats.org/officeDocument/2006/relationships/hyperlink" Target="http://kodeks.duckdns.org/document/230025214" TargetMode="External"/><Relationship Id="rIdvew__48vqujugq6egopda" Type="http://schemas.openxmlformats.org/officeDocument/2006/relationships/hyperlink" Target="http://kodeks.duckdns.org/document/230025214" TargetMode="External"/><Relationship Id="rIdnjilczsdgnbanyenaxkrx" Type="http://schemas.openxmlformats.org/officeDocument/2006/relationships/hyperlink" Target="http://kodeks.duckdns.org/document/230025214" TargetMode="External"/><Relationship Id="rId6abq03ehydg4ozt8htox2" Type="http://schemas.openxmlformats.org/officeDocument/2006/relationships/hyperlink" Target="http://kodeks.duckdns.org/document/230025214" TargetMode="External"/><Relationship Id="rIdgtahiguzqm3yxqs-nzeqm" Type="http://schemas.openxmlformats.org/officeDocument/2006/relationships/hyperlink" Target="http://kodeks.duckdns.org/document/230025214" TargetMode="External"/><Relationship Id="rIdyw1nheqcrur5f9rrfptmt" Type="http://schemas.openxmlformats.org/officeDocument/2006/relationships/hyperlink" Target="http://kodeks.duckdns.org/document/230025214" TargetMode="External"/><Relationship Id="rIdjhlwciuq4jkryjhgnj5_c" Type="http://schemas.openxmlformats.org/officeDocument/2006/relationships/hyperlink" Target="http://kodeks.duckdns.org/document/230025214" TargetMode="External"/><Relationship Id="rIdejcsjj5yc6_7pos9ep7kt" Type="http://schemas.openxmlformats.org/officeDocument/2006/relationships/hyperlink" Target="http://kodeks.duckdns.org/document/230025214" TargetMode="External"/><Relationship Id="rId1pqxoisebrdrkh4o6dr-e" Type="http://schemas.openxmlformats.org/officeDocument/2006/relationships/hyperlink" Target="http://kodeks.duckdns.org/document/230025214" TargetMode="External"/><Relationship Id="rIdcxpzvh06q1aywadzhcys_" Type="http://schemas.openxmlformats.org/officeDocument/2006/relationships/hyperlink" Target="http://kodeks.duckdns.org/document/230012708" TargetMode="External"/><Relationship Id="rIdbefhyug1zbmiystxdqzpc" Type="http://schemas.openxmlformats.org/officeDocument/2006/relationships/hyperlink" Target="http://kodeks.duckdns.org/document/230020794" TargetMode="External"/><Relationship Id="rIdirsu661rjpuw0b-gyrdkh" Type="http://schemas.openxmlformats.org/officeDocument/2006/relationships/hyperlink" Target="http://kodeks.duckdns.org/document/230025214" TargetMode="External"/><Relationship Id="rIdssnsnrlatto-hetjq6xp1" Type="http://schemas.openxmlformats.org/officeDocument/2006/relationships/hyperlink" Target="http://kodeks.duckdns.org/document/230020794" TargetMode="External"/><Relationship Id="rIdu8do_34xxcie_f7kf2tl_" Type="http://schemas.openxmlformats.org/officeDocument/2006/relationships/hyperlink" Target="http://kodeks.duckdns.org/document/230025214" TargetMode="External"/><Relationship Id="rIdqu6kexw0dhf3xq5vghyne" Type="http://schemas.openxmlformats.org/officeDocument/2006/relationships/hyperlink" Target="http://kodeks.duckdns.org/document/230025214" TargetMode="External"/><Relationship Id="rIdyduba5hjwtip-huy1dibk" Type="http://schemas.openxmlformats.org/officeDocument/2006/relationships/hyperlink" Target="http://kodeks.duckdns.org/document/230025214" TargetMode="External"/><Relationship Id="rIdp-m8ommohb_aeipkqdksu" Type="http://schemas.openxmlformats.org/officeDocument/2006/relationships/hyperlink" Target="http://kodeks.duckdns.org/document/230025214" TargetMode="External"/><Relationship Id="rIdfp6ofo5qa1tkgp_va5uwb" Type="http://schemas.openxmlformats.org/officeDocument/2006/relationships/hyperlink" Target="http://kodeks.duckdns.org/document/230025214" TargetMode="External"/><Relationship Id="rId78k4l_y8cvn89xezwl9vs" Type="http://schemas.openxmlformats.org/officeDocument/2006/relationships/hyperlink" Target="http://kodeks.duckdns.org/document/230012708" TargetMode="External"/><Relationship Id="rIdsds4j86zn50pbcbskyniy" Type="http://schemas.openxmlformats.org/officeDocument/2006/relationships/hyperlink" Target="http://kodeks.duckdns.org/document/230020794" TargetMode="External"/><Relationship Id="rId1k_qthur7xt1fr2qagcl1" Type="http://schemas.openxmlformats.org/officeDocument/2006/relationships/hyperlink" Target="http://kodeks.duckdns.org/document/230025214" TargetMode="External"/><Relationship Id="rIdttxrng7njqchbzkfi7xzr" Type="http://schemas.openxmlformats.org/officeDocument/2006/relationships/hyperlink" Target="http://kodeks.duckdns.org/document/230025214" TargetMode="External"/><Relationship Id="rId0ver60hwlloeoixx61e96" Type="http://schemas.openxmlformats.org/officeDocument/2006/relationships/hyperlink" Target="http://kodeks.duckdns.org/document/230025214" TargetMode="External"/><Relationship Id="rId7" Type="http://schemas.openxmlformats.org/officeDocument/2006/relationships/image" Target="media/93bec1c1538034512fe33c1434ae0ea86b639d33.png"/><Relationship Id="rId6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2026-09-23T09:57:12.098Z</dcterms:created>
  <dcterms:modified xsi:type="dcterms:W3CDTF">2026-09-23T09:57:12.098Z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