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мая</w:t>
      </w:r>
      <w:r>
        <w:rPr>
          <w:rFonts w:ascii="Arial" w:cs="Arial" w:eastAsia="Arial" w:hAnsi="Arial"/>
          <w:sz w:val="24"/>
          <w:szCs w:val="24"/>
        </w:rPr>
        <w:t xml:space="preserve"> 2022 года № 2</w:t>
      </w:r>
      <w:r>
        <w:rPr>
          <w:rFonts w:ascii="Arial" w:cs="Arial" w:eastAsia="Arial" w:hAnsi="Arial"/>
          <w:sz w:val="24"/>
          <w:szCs w:val="24"/>
        </w:rPr>
        <w:t xml:space="preserve">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ставок государственной пошлины" от 15 апреля 2019 года № 159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uktnwhddy1eozqm86h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hyperlink w:history="1" r:id="rIdpdqljx3q-hslqbsfv16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</w:t>
      </w:r>
      <w:hyperlink w:history="1" r:id="rIdxhqhy86igmv9nmnkenr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litl2jm2koi5jyd4z8o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а также в соответствии со статьями </w:t>
      </w:r>
      <w:hyperlink w:history="1" r:id="rIdeu8wey-tbcuyxsfswb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139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ttfg_tsnylkemk60czi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неналоговых доходах, руководствуясь статьями </w:t>
      </w:r>
      <w:hyperlink w:history="1" r:id="rIdm9pwoeeese1caxdorqj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hbvjg_hn2jhskozs_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ly4uwhrjjwxfld3ul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постановлением, </w:t>
      </w:r>
      <w:r>
        <w:rPr>
          <w:rFonts w:ascii="Arial" w:cs="Arial" w:eastAsia="Arial" w:hAnsi="Arial"/>
          <w:sz w:val="24"/>
          <w:szCs w:val="24"/>
        </w:rPr>
        <w:t xml:space="preserve">главу 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Предельный размер взимаемой государственной пошлины с подаваемых в суд исковых заявлений по гражданским спорам не может превышать 50000-кратный размер расчетного показателя.".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2022 года N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ju44n76w4kqb0e6t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dalil.kg/document/159189</w:t>
      </w:r>
    </w:hyperlink>
  </w:p>
  <w:p>
    <w:pPr>
      <w:spacing w:after="0" w:before="40"/>
      <w:jc w:val="center"/>
    </w:pPr>
    <w:hyperlink w:history="1" r:id="rId_hrdb_7ocibamya8kef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ktnwhddy1eozqm86ht1" Type="http://schemas.openxmlformats.org/officeDocument/2006/relationships/hyperlink" Target="https://dalil.kg/document/112211#st_3" TargetMode="External"/><Relationship Id="rIdpdqljx3q-hslqbsfv169c" Type="http://schemas.openxmlformats.org/officeDocument/2006/relationships/hyperlink" Target="https://dalil.kg/document/112211" TargetMode="External"/><Relationship Id="rIdxhqhy86igmv9nmnkenrxd" Type="http://schemas.openxmlformats.org/officeDocument/2006/relationships/hyperlink" Target="https://dalil.kg/document/111820" TargetMode="External"/><Relationship Id="rIdlitl2jm2koi5jyd4z8oaf" Type="http://schemas.openxmlformats.org/officeDocument/2006/relationships/hyperlink" Target="https://dalil.kg/document/111521" TargetMode="External"/><Relationship Id="rIdeu8wey-tbcuyxsfswbghh" Type="http://schemas.openxmlformats.org/officeDocument/2006/relationships/hyperlink" Target="https://dalil.kg/document/111820#st_139" TargetMode="External"/><Relationship Id="rIdttfg_tsnylkemk60cziqi" Type="http://schemas.openxmlformats.org/officeDocument/2006/relationships/hyperlink" Target="https://dalil.kg/document/111820" TargetMode="External"/><Relationship Id="rIdm9pwoeeese1caxdorqjmj" Type="http://schemas.openxmlformats.org/officeDocument/2006/relationships/hyperlink" Target="https://dalil.kg/document/112301#st_13" TargetMode="External"/><Relationship Id="rId3mhbvjg_hn2jhskozs_n-" Type="http://schemas.openxmlformats.org/officeDocument/2006/relationships/hyperlink" Target="https://dalil.kg/document/112301#st_17" TargetMode="External"/><Relationship Id="rIdzly4uwhrjjwxfld3ulhqa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ju44n76w4kqb0e6tilz" Type="http://schemas.openxmlformats.org/officeDocument/2006/relationships/hyperlink" Target="https://dalil.kg/document/159189" TargetMode="External"/><Relationship Id="rId_hrdb_7ocibamya8kef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2026-09-24T22:23:58.132Z</dcterms:created>
  <dcterms:modified xsi:type="dcterms:W3CDTF">2026-09-24T22:23:58.132Z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