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ko1ttn5npwkqq42dgw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декабря 2024 года № 778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9sgxrtbsbrqerq3m0qd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 Кабинета Министров Кыргызской Республики от </w:t>
      </w:r>
      <w:hyperlink w:history="1" r:id="rIdvo3v9ql_tgkws_0qkg2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i_f_ngy8w7j1czh2q2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p3jpy-mfi2m4h24-3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порядок формирования, учета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ql9bso6apa0swwgs6p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 сверки</w:t>
      </w:r>
      <w:r>
        <w:rPr>
          <w:rFonts w:ascii="Arial" w:cs="Arial" w:eastAsia="Arial" w:hAnsi="Arial"/>
          <w:sz w:val="24"/>
          <w:szCs w:val="24"/>
        </w:rPr>
        <w:t xml:space="preserve"> - документ, отражающий состояние взаимных расчетов между сторонами за определенный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администрируемый счет</w:t>
      </w:r>
      <w:r>
        <w:rPr>
          <w:rFonts w:ascii="Arial" w:cs="Arial" w:eastAsia="Arial" w:hAnsi="Arial"/>
          <w:sz w:val="24"/>
          <w:szCs w:val="24"/>
        </w:rPr>
        <w:t xml:space="preserve"> - счет, открытый Министерством финансов Кыргызской Республики, по сбору штрафов, уплачиваемых за совершение правонарушений, в том числе зафиксированных с применением аппаратно-программного комплекса,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муниципалитетов, для Генеральной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"Безопасный город"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информационная система, обеспечивающая автоматизацию процессов сбора, хранения, обработки и регистрации информации, зафиксированной аппаратно-программными комплексами, и принятых уполномоченными органами решений по нарушениям Правил дорожного движения (далее - ПДД), с отображением статуса доставки/недоставки копий постановлений по делам о правонарушениях ПДД и оплаты на центральном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аппаратно-программный комплекс (далее - АПК)</w:t>
      </w:r>
      <w:r>
        <w:rPr>
          <w:rFonts w:ascii="Arial" w:cs="Arial" w:eastAsia="Arial" w:hAnsi="Arial"/>
          <w:sz w:val="24"/>
          <w:szCs w:val="24"/>
        </w:rPr>
        <w:t xml:space="preserve"> - стационарное/передвижное сертифицированное контрольно-измерительное техническое средство, имеющее функции фото и киносъемки, видеозаписи, представляющее систему по автоматическому предоставлению комплексной информации об общем потоке транспортных средств, зафиксированных правонарушений ПДД и видеонаблюдений;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реестр правонарушений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система, предназначенная для сбора, обработки и хранения сведений о зарегистрированных правонарушениях и лицах их совершивших, а также примененных к ним взысканиях и дополнительных правовых последствиях;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отбор, посредством которого определяется победитель на поставку товаров, работ, услуг и консультационных услуг в порядке, предусмотренном законодательством в сфере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zmn4wddboc-jel7gsf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сумм штрафов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Министерством финансов Кыргызской Республики дается разрешение Генеральной прокуратуре Кыргызской Республики на открытие администрируемого счета по сбору штрафов, уплачиваемых за совершение правонарушений, обработанных в автоматизированной информационной системе "Единый реестр правонарушений" (далее - администрируемый счет), в том числе зафиксированных с применением АПК,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yl0jbkgx4ftvm-bfkr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на администрируемый счет Генеральной прокуратуры Кыргызской Республики поступают от фактически оплаченных физическими и юридическими лицами штрафов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АПК,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ft3qnfscjoi35otg-e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денежных средств, поступивших от уплаты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АПК,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самоуправления, осуществляется в автоматическом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u5wh0qq4ehiubxkfrh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Генеральная прокуратура Кыргызской Республики совместно с Министерством финансов Кыргызской Республики составляет акт сверки в разрезе каждого АПК и правонарушений, обработанных в автоматизированной информационной системе "Единый реестр правонарушений" в рамках фактически поступивших денежных средств на администрируемый счет Генеральной прокуратуры Кыргызской Республики до 10 (десять) числа ежемесячно, для учета фактически поступивших финансовых средств и количества оплаченных штрафов.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финансов Кыргызской Республики после проведения сверки, распределяет денежные средства от оплаченных штрафов: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государственным органам и органам местного самоуправления, уполномоченным рассматривать дела о правонарушениях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внутренних дел Кыргызской Республики и Главному управлению по обеспечению безопасности дорожного движения Министерства внутренних дел Кыргызской Республики раздельно, согласно компетенции по рассмотрению дел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сумм штрафов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финансов Кыргызской Республики осуществляет выделение необходимых финансовых средств из средств, поступающих на администрируемый счет в первоочередном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государственным органам и органам местного самоуправления, реализующим компонент "Безопасный город" проекта "Умный город" в пределах своих компетенций для осуществления расчетов с подрядчиками согласно договорам, заключенным по итогам конкурса/конкурсов, и на техническое обслуживание АПК без превышения суммы минимального штрафа для полноценного расщепления (только по штрафам, зафиксированным АПК), в рамках компонента "Безопасный город" проекта "Умный город", а также в соответствии с договорами, заключенными в рамках реализации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Государственным органам и органам местного самоуправления для почтовых услуг согласно заключенным Договорам (распечатка, конвертирование и доставка постановлений до адресата) согласно тарифам, согласованным уполномоченным государственным органом в сфере антимонопольного регулирования, но не превышающего 26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Генеральной прокуратуре Кыргызской Республики для обеспечения бесперебойной работы автоматизированной информационной системы "Единый реестр правонарушений" и автоматизированной информационной системы "Безопасный город", в том числе для материально-технического обеспечения и материального стимулирования сотрудников - 13% от суммы штрафа.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Главному управлению по обеспечению безопасности дорожного движения Министерства внутренних дел Кыргызской Республики для улучшения материально-технического обеспечения и материального стимулирования сотрудников - в размере 25% от суммы взыскиваемых штрафов за правонарушения, рассмотренные и наложенные в пределах своей компетенции в соответствии со </w:t>
      </w:r>
      <w:hyperlink w:history="1" r:id="rIds2ks-xjcgivw5-kjmn5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мэрии города Бишкек для улучшения материально-технического обеспечения и материального стимулирования сотрудников - в размере 80% от суммы взыскиваемых штрафов за правонарушения, рассмотренные и наложенные подведомственными и территориальными подразделениями мэрии города Бишкек в пределах своей компетенции, в соответствии со статьями </w:t>
      </w:r>
      <w:hyperlink w:history="1" r:id="rIdtkukmbes0_hyr8pm1-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492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lp62qtnnempkajdv9rj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496</w:t>
        </w:r>
      </w:hyperlink>
      <w:r>
        <w:rPr>
          <w:rFonts w:ascii="Arial" w:cs="Arial" w:eastAsia="Arial" w:hAnsi="Arial"/>
          <w:sz w:val="24"/>
          <w:szCs w:val="24"/>
        </w:rPr>
        <w:t xml:space="preserve"> 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bwnmterxgzs5vypes1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_teqnmrkvdj_am77nd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82rcyzflyrjicxkgzm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распределения финансовых средств, указанных в пункте 8 настоящего Порядка, оставшиеся суммы штрафов, уплачиваемых за совершение правонарушений, в том числе зафиксированных с применением АПК,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самоуправления, распределяются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зафиксированные посредством АПК: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национальной безопасности Кыргызской Республики - 3% на содержание и модернизацию резервного центра обработки данных (только в рамках компонента,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самоуправления, в том числе для материально-технического обеспечения и материального стимулирования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местного самоуправления - 15% на затраты, связанные с приведением в надлежащее состояние элементов дорожной инфраструктуры, перекрестков и мобильных систем, где предусматривается установка стационарных АПК, в том числе для материально-технического обеспечения и материального стимулирования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штрафы в Едином реестре правонарушений распределяются государственным органам и органам местного самоуправления, уполномоченным рассматривать дела о правонарушениях в пределах своей компетенции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Республики, на улучшение материально-технического обеспечения и материальное стимулирование сотрудников в размере 13% (за исключением Генеральной прокуратуры Кыргызской Республики, судов Кыргызской Республики, Судебного департамента при Верховном суде Кыргызской Республики, Главного управления по обеспечению безопасности дорожного движения Министерства внутренних дел Кыргызской Республики и мэрии города Бишкек);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неуплаты штрафа за правонарушение в добровольном порядке Судебному департаменту при Верховном суде Кыргызской Республики - для принудительного исполнения в порядке, предусмотренном законодательством, на улучшение материально-технического обеспечения и материальное стимулирование сотрудников в размере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vhdosmhbzzmy7oc64h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6m1jhtyvvi83zwnwz0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Остаток поступивших средств от компонента "Безопасный город" проекта "Умный город", реализуемого на территории Кыргызской Республики государственными органами, а также органами местного самоуправления, в рамках Единого реестра правонарушений, сумма и начисленные по ним штрафы зачисляются в республиканский бюджет в случаях фиксации нарушений на дорогах республиканского значения и в бюджет органов местного самоуправления при фиксации нарушений на территории соответствующих муниципалитетов и территории вне муниципалитетов.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Налагаемая пеня по штрафам, взысканным в рамках компонента "Безопасный город" проекта "Умный город" и Единого реестра правонарушений, направляется в полном объеме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xwqrcfg03k2mm1vjlw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Расходование средств государственными органами и органами местного самоуправления, указанными в пунктах </w:t>
      </w:r>
      <w:hyperlink w:history="1" r:id="rIdgh6mb5b0o0fg17vqc80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w6hj9tlu_ik9ksucgu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9</w:t>
        </w:r>
      </w:hyperlink>
      <w:r>
        <w:rPr>
          <w:rFonts w:ascii="Arial" w:cs="Arial" w:eastAsia="Arial" w:hAnsi="Arial"/>
          <w:sz w:val="24"/>
          <w:szCs w:val="24"/>
        </w:rPr>
        <w:t xml:space="preserve">, производится согласно утвержденным сметам расходов и фактическому поступлению доходов на администрируемый счет Генеральной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Распределение и использование выделенных средств определяются решениями руководителей уполномоченных государственных органов, указанных в пунктах </w:t>
      </w:r>
      <w:hyperlink w:history="1" r:id="rId5muppfwsv5uupk3chbq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sq4nmkh4emruipvnt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biz4gcr7jlh_k09dgu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октября 2023 года № 543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Соответствующие структурные подразделения бухгалтерского учета государственных органов и органов местного самоуправления осуществляют учет формирования (поступления) и использования средств в соответствии с бюджетным законодательством и законодательством о бухгалтерском учете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tkx2wnhkxmesps8oc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dalil.kg/document/159288</w:t>
      </w:r>
    </w:hyperlink>
  </w:p>
  <w:p>
    <w:pPr>
      <w:spacing w:after="0" w:before="40"/>
      <w:jc w:val="center"/>
    </w:pPr>
    <w:hyperlink w:history="1" r:id="rId6xspnmcosjh284un1su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o1ttn5npwkqq42dgwtw" Type="http://schemas.openxmlformats.org/officeDocument/2006/relationships/hyperlink" Target="https://dalil.kg/document/230020032" TargetMode="External"/><Relationship Id="rId9sgxrtbsbrqerq3m0qd_1" Type="http://schemas.openxmlformats.org/officeDocument/2006/relationships/hyperlink" Target="https://dalil.kg/document/159287" TargetMode="External"/><Relationship Id="rIdvo3v9ql_tgkws_0qkg2oe" Type="http://schemas.openxmlformats.org/officeDocument/2006/relationships/hyperlink" Target="https://dalil.kg/document/160521" TargetMode="External"/><Relationship Id="rId8i_f_ngy8w7j1czh2q2sk" Type="http://schemas.openxmlformats.org/officeDocument/2006/relationships/hyperlink" Target="https://dalil.kg/document/230002449" TargetMode="External"/><Relationship Id="rIdcjp3jpy-mfi2m4h24-34q" Type="http://schemas.openxmlformats.org/officeDocument/2006/relationships/hyperlink" Target="https://dalil.kg/document/230011246" TargetMode="External"/><Relationship Id="rIddql9bso6apa0swwgs6pon" Type="http://schemas.openxmlformats.org/officeDocument/2006/relationships/hyperlink" Target="https://dalil.kg/document/230002449" TargetMode="External"/><Relationship Id="rIdezmn4wddboc-jel7gsfon" Type="http://schemas.openxmlformats.org/officeDocument/2006/relationships/hyperlink" Target="https://dalil.kg/document/230002449" TargetMode="External"/><Relationship Id="rIdpyl0jbkgx4ftvm-bfkrxa" Type="http://schemas.openxmlformats.org/officeDocument/2006/relationships/hyperlink" Target="https://dalil.kg/document/230002449" TargetMode="External"/><Relationship Id="rIdcft3qnfscjoi35otg-eiw" Type="http://schemas.openxmlformats.org/officeDocument/2006/relationships/hyperlink" Target="https://dalil.kg/document/230002449" TargetMode="External"/><Relationship Id="rIdju5wh0qq4ehiubxkfrhqi" Type="http://schemas.openxmlformats.org/officeDocument/2006/relationships/hyperlink" Target="https://dalil.kg/document/230002449" TargetMode="External"/><Relationship Id="rIds2ks-xjcgivw5-kjmn5ln" Type="http://schemas.openxmlformats.org/officeDocument/2006/relationships/hyperlink" Target="https://dalil.kg/document/112306#st_456" TargetMode="External"/><Relationship Id="rIdtkukmbes0_hyr8pm1-kob" Type="http://schemas.openxmlformats.org/officeDocument/2006/relationships/hyperlink" Target="https://dalil.kg/document/112306#st_492" TargetMode="External"/><Relationship Id="rIdlp62qtnnempkajdv9rjia" Type="http://schemas.openxmlformats.org/officeDocument/2006/relationships/hyperlink" Target="https://dalil.kg/document/112306#st_496" TargetMode="External"/><Relationship Id="rIdubwnmterxgzs5vypes1xx" Type="http://schemas.openxmlformats.org/officeDocument/2006/relationships/hyperlink" Target="https://dalil.kg/document/160521" TargetMode="External"/><Relationship Id="rIdp_teqnmrkvdj_am77nd1c" Type="http://schemas.openxmlformats.org/officeDocument/2006/relationships/hyperlink" Target="https://dalil.kg/document/230002449" TargetMode="External"/><Relationship Id="rIdl82rcyzflyrjicxkgzmih" Type="http://schemas.openxmlformats.org/officeDocument/2006/relationships/hyperlink" Target="https://dalil.kg/document/230011246" TargetMode="External"/><Relationship Id="rIdsvhdosmhbzzmy7oc64hu7" Type="http://schemas.openxmlformats.org/officeDocument/2006/relationships/hyperlink" Target="https://dalil.kg/document/230002449" TargetMode="External"/><Relationship Id="rIdo6m1jhtyvvi83zwnwz0bd" Type="http://schemas.openxmlformats.org/officeDocument/2006/relationships/hyperlink" Target="https://dalil.kg/document/230011246" TargetMode="External"/><Relationship Id="rIdsxwqrcfg03k2mm1vjlwzx" Type="http://schemas.openxmlformats.org/officeDocument/2006/relationships/hyperlink" Target="https://dalil.kg/document/230002449" TargetMode="External"/><Relationship Id="rIdgh6mb5b0o0fg17vqc80ia" Type="http://schemas.openxmlformats.org/officeDocument/2006/relationships/hyperlink" Target="https://dalil.kg/document/159288#p8" TargetMode="External"/><Relationship Id="rIdw6hj9tlu_ik9ksucguiwt" Type="http://schemas.openxmlformats.org/officeDocument/2006/relationships/hyperlink" Target="https://dalil.kg/document/159288#p9" TargetMode="External"/><Relationship Id="rId5muppfwsv5uupk3chbqxx" Type="http://schemas.openxmlformats.org/officeDocument/2006/relationships/hyperlink" Target="https://dalil.kg/document/159288#p8" TargetMode="External"/><Relationship Id="rId7tsq4nmkh4emruipvntrw" Type="http://schemas.openxmlformats.org/officeDocument/2006/relationships/hyperlink" Target="https://dalil.kg/document/159288#p9" TargetMode="External"/><Relationship Id="rId3biz4gcr7jlh_k09dguqj" Type="http://schemas.openxmlformats.org/officeDocument/2006/relationships/hyperlink" Target="https://dalil.kg/document/16052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tkx2wnhkxmesps8oc4h" Type="http://schemas.openxmlformats.org/officeDocument/2006/relationships/hyperlink" Target="https://dalil.kg/document/159288" TargetMode="External"/><Relationship Id="rId6xspnmcosjh284un1su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2026-09-23T21:42:51.103Z</dcterms:created>
  <dcterms:modified xsi:type="dcterms:W3CDTF">2026-09-23T21:42:51.103Z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