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 КАБИНЕТА МИНИСТРОВ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 w:val="false"/>
          <w:iCs w:val="false"/>
          <w:sz w:val="24"/>
          <w:szCs w:val="24"/>
        </w:rPr>
        <w:t xml:space="preserve">от 12 июля 2022 года № 375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Правительства Кыргызской Республики "О некоторых вопросах в сфере таможенного дела" от 13 февраля 2020 года № 79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упорядочения отдельных норм Кабинета Министров Кыргызской Республики, регулирующих организацию проведения таможенного контроля, в соответствии со статьями </w:t>
      </w:r>
      <w:hyperlink w:history="1" r:id="rIdu_v1d9kmjppbb0lnaamo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f3jvyrsx4m2t2thuwhnq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9wfzikd_o3nzd99hn6lt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некоторых вопросах в сфере таможенного дела" от 13 февраля 2020 года № 79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8 слова "по истечении двух лет со дня вступления в силу настоящего постановления" заменить словами "с 1 апреля 2023 года".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пятнадцати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Опубликован в газете "Эркин Тоо" от 22 июля 2022 года № 64 (3399)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А.У. Жапаров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ighqgx0twunthw9oypl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dalil.kg/document/159320</w:t>
      </w:r>
    </w:hyperlink>
  </w:p>
  <w:p>
    <w:pPr>
      <w:spacing w:after="0" w:before="40"/>
      <w:jc w:val="center"/>
    </w:pPr>
    <w:hyperlink w:history="1" r:id="rIdogekipasur6ppmrmg6pj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_v1d9kmjppbb0lnaamoo" Type="http://schemas.openxmlformats.org/officeDocument/2006/relationships/hyperlink" Target="https://dalil.kg/document/112301#st_13" TargetMode="External"/><Relationship Id="rIdf3jvyrsx4m2t2thuwhnqn" Type="http://schemas.openxmlformats.org/officeDocument/2006/relationships/hyperlink" Target="https://dalil.kg/document/112301#st_17" TargetMode="External"/><Relationship Id="rId9wfzikd_o3nzd99hn6ltt" Type="http://schemas.openxmlformats.org/officeDocument/2006/relationships/hyperlink" Target="https://dalil.kg/document/157558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ighqgx0twunthw9oyplm" Type="http://schemas.openxmlformats.org/officeDocument/2006/relationships/hyperlink" Target="https://dalil.kg/document/159320" TargetMode="External"/><Relationship Id="rIdogekipasur6ppmrmg6pj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2026-09-25T08:22:41.686Z</dcterms:created>
  <dcterms:modified xsi:type="dcterms:W3CDTF">2026-09-25T08:22:41.686Z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