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wggv0mtgzv71pabd4xa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28 июля 2022 года № 397)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
 заключения договора (контракта) на обучение со стипендиатом международной стипендии Президента Кыргызской Республики "Эл умуту"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ipayo5agklmyctocw-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2022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разработаны в соответствии с </w:t>
      </w:r>
      <w:hyperlink w:history="1" r:id="rIdlxsbttngqiqree3slw9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международной стипендии Президента Кыргызской Республики "Эл умуту" от 10 мая 2022 года № 146 и определяют порядок и условия заключения договора (контракта) на обучение со стипендиатом международной стипендии Президента Кыргызской Республики "Эл умуту" (далее - Стипендиат).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и условия заключения договора на обучение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Стипендиат в течение 90 (девяносто) календарных дней со дня принятия Республиканской комиссией по присуждению международной стипендии Президента Кыргызской Республики "Эл </w:t>
      </w:r>
      <w:r>
        <w:rPr>
          <w:rFonts w:ascii="Arial" w:cs="Arial" w:eastAsia="Arial" w:hAnsi="Arial"/>
          <w:sz w:val="24"/>
          <w:szCs w:val="24"/>
        </w:rPr>
        <w:t xml:space="preserve">үмүтү"</w:t>
      </w:r>
      <w:r>
        <w:rPr>
          <w:rFonts w:ascii="Arial" w:cs="Arial" w:eastAsia="Arial" w:hAnsi="Arial"/>
          <w:sz w:val="24"/>
          <w:szCs w:val="24"/>
        </w:rPr>
        <w:t xml:space="preserve"> (далее - Республиканская комиссия) решения о присуждении ему международной стипендии Президента Кыргызской Республики "Эл </w:t>
      </w:r>
      <w:r>
        <w:rPr>
          <w:rFonts w:ascii="Arial" w:cs="Arial" w:eastAsia="Arial" w:hAnsi="Arial"/>
          <w:sz w:val="24"/>
          <w:szCs w:val="24"/>
        </w:rPr>
        <w:t xml:space="preserve">үмүтү</w:t>
      </w:r>
      <w:r>
        <w:rPr>
          <w:rFonts w:ascii="Arial" w:cs="Arial" w:eastAsia="Arial" w:hAnsi="Arial"/>
          <w:sz w:val="24"/>
          <w:szCs w:val="24"/>
        </w:rPr>
        <w:t xml:space="preserve">" (далее - международная стипендия) заключает договор (контракт) на обучение в высшем учебном заведении зарубежного государства (далее - договор) с уполномоченным государственным органом в области образования и науки (далее - уполномоченный орган), типовая форма которого утверждается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болезни Стипендиата, нахождения в командировке и иных обстоятельствах, препятствующих заключению договора, Стипендиат обращается в Республиканскую комиссию о продлении срока заключения договора на обучение в высшем учебном заведении зарубежного государства (далее - вуз) при условии предоставления подтверждающих документов о невозможности заключения договора в установленный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продления заключения договора не превышает 90 (девяносто) календарных дней с момента принятия решения Республиканской комиссией о разрешении продлить срок заключения договора по уважительной причине. Продление заключения договора предоставляется однократно в случаях, указанных в настоящих Правилах.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cfdv394clk9gvew9ne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2022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Стипендиатом в уполномоченный орган предоставляется документ, удостоверяющий личность, для заключения договора.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Финансирование Стипендиата, возмещение расходов при лишении/отказе от международной стипендии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лишения Стипендиата международной стипендии по решению Республиканской комиссии на основании несоблюдения обязательств договора на получение международной стипендии расходы, затраченные на Стипендиата со дня вынесения Республиканской комиссией решения о присуждении международной стипендии, подлежат возмещению.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Стипендиат в добровольном порядке заключает соглашение о возмещении финансовых средств в течение 20 (двадцать) рабочих дней со дня принятия решения о возмещении задолженности и/или получения уведомления о задолженности и возмещает расходы в сроки, указанные в соглашении о возмещении.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случае, если Стипендиат не заключает соглашение о возмещении в установленные пунктом 5 настоящих Правил сроки, возмещение задолженности осуществляется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lqfhaotlvo4i6kndi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dalil.kg/document/159337</w:t>
      </w:r>
    </w:hyperlink>
  </w:p>
  <w:p>
    <w:pPr>
      <w:spacing w:after="0" w:before="40"/>
      <w:jc w:val="center"/>
    </w:pPr>
    <w:hyperlink w:history="1" r:id="rIdiq6olntx4j6nkweq0xl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gv0mtgzv71pabd4xag_" Type="http://schemas.openxmlformats.org/officeDocument/2006/relationships/hyperlink" Target="https://dalil.kg/document/159335" TargetMode="External"/><Relationship Id="rIduipayo5agklmyctocw-03" Type="http://schemas.openxmlformats.org/officeDocument/2006/relationships/hyperlink" Target="https://dalil.kg/document/159654" TargetMode="External"/><Relationship Id="rIdlxsbttngqiqree3slw9ei" Type="http://schemas.openxmlformats.org/officeDocument/2006/relationships/hyperlink" Target="https://dalil.kg/document/430933" TargetMode="External"/><Relationship Id="rId9cfdv394clk9gvew9nepn" Type="http://schemas.openxmlformats.org/officeDocument/2006/relationships/hyperlink" Target="https://dalil.kg/document/1596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lqfhaotlvo4i6kndiyh" Type="http://schemas.openxmlformats.org/officeDocument/2006/relationships/hyperlink" Target="https://dalil.kg/document/159337" TargetMode="External"/><Relationship Id="rIdiq6olntx4j6nkweq0xl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2026-09-28T13:00:14.312Z</dcterms:created>
  <dcterms:modified xsi:type="dcterms:W3CDTF">2026-09-28T13:00:14.312Z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