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val="false"/>
          <w:bCs w:val="false"/>
          <w:sz w:val="24"/>
          <w:szCs w:val="24"/>
        </w:rPr>
        <w:t xml:space="preserve">Приложение</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ПОЛОЖЕНИЕ
 об условиях ведения государственными предприятиями и хозяйствующими субъектами, имеющими не менее чем двух третей долей участия государства в уставном капитале, совместной деятельности с инвесторами по реализации предоставленных прав пользования недрами </w:t>
      </w:r>
    </w:p>
    <w:p>
      <w:pPr>
        <w:spacing w:after="120"/>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qpu4brr7m-1am8th8ozzk">
        <w:r>
          <w:rPr>
            <w:rFonts w:ascii="Arial" w:cs="Arial" w:eastAsia="Arial" w:hAnsi="Arial"/>
            <w:i/>
            <w:iCs/>
            <w:color w:val="1D4ED8"/>
            <w:sz w:val="24"/>
            <w:szCs w:val="24"/>
            <w:u w:val="single"/>
          </w:rPr>
          <w:t xml:space="preserve">24 октября 2023 года № 562</w:t>
        </w:r>
      </w:hyperlink>
      <w:r>
        <w:rPr>
          <w:rFonts w:ascii="Arial" w:cs="Arial" w:eastAsia="Arial" w:hAnsi="Arial"/>
          <w:i/>
          <w:iCs/>
          <w:sz w:val="24"/>
          <w:szCs w:val="24"/>
        </w:rPr>
        <w:t xml:space="preserve">, </w:t>
      </w:r>
      <w:hyperlink w:history="1" r:id="rIdlso7dfxezgc4n13piemrp">
        <w:r>
          <w:rPr>
            <w:rFonts w:ascii="Arial" w:cs="Arial" w:eastAsia="Arial" w:hAnsi="Arial"/>
            <w:i/>
            <w:iCs/>
            <w:color w:val="1D4ED8"/>
            <w:sz w:val="24"/>
            <w:szCs w:val="24"/>
            <w:u w:val="single"/>
          </w:rPr>
          <w:t xml:space="preserve">1 июля 2025 года № 382</w:t>
        </w:r>
      </w:hyperlink>
      <w:r>
        <w:rPr>
          <w:rFonts w:ascii="Arial" w:cs="Arial" w:eastAsia="Arial" w:hAnsi="Arial"/>
          <w:i/>
          <w:iCs/>
          <w:sz w:val="24"/>
          <w:szCs w:val="24"/>
        </w:rPr>
        <w:t xml:space="preserve">,  </w:t>
      </w:r>
      <w:hyperlink w:history="1" r:id="rIdijduwwehe_yoacxrkfdiy">
        <w:r>
          <w:rPr>
            <w:rFonts w:ascii="Arial" w:cs="Arial" w:eastAsia="Arial" w:hAnsi="Arial"/>
            <w:i/>
            <w:iCs/>
            <w:color w:val="1D4ED8"/>
            <w:sz w:val="24"/>
            <w:szCs w:val="24"/>
            <w:u w:val="single"/>
          </w:rPr>
          <w:t xml:space="preserve">1 сентября 2025 года № 542 </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Настоящее Положение об условиях ведения государственными предприятиями и хозяйствующими субъектами, имеющими не менее чем двух третей долей участия государства в уставном капитале, совместной деятельности с инвесторами по реализации предоставленных прав пользования недрами (далее - Положение) определяет условия осуществления государственными предприятиями и хозяйствующими субъектами, имеющими не менее чем двух третей долей участия государства в уставном капитале, совместной деятельности с инвесторами при реализации проектов в сфере недропользования.</w:t>
      </w:r>
    </w:p>
    <w:p>
      <w:pPr>
        <w:spacing w:after="60"/>
        <w:ind w:firstLine="567"/>
        <w:jc w:val="both"/>
      </w:pPr>
      <w:r>
        <w:rPr>
          <w:rFonts w:ascii="Arial" w:cs="Arial" w:eastAsia="Arial" w:hAnsi="Arial"/>
          <w:sz w:val="24"/>
          <w:szCs w:val="24"/>
        </w:rPr>
        <w:t xml:space="preserve">Государственное предприятие для реализации предоставленных прав пользования недрами вправе вести совместную деятельность с инвестором (инвесторами) путем заключения договора простого товарищества без образования юридического лица.</w:t>
      </w:r>
    </w:p>
    <w:p>
      <w:pPr>
        <w:spacing w:after="60"/>
        <w:ind w:firstLine="567"/>
        <w:jc w:val="both"/>
      </w:pPr>
      <w:r>
        <w:rPr>
          <w:rFonts w:ascii="Arial" w:cs="Arial" w:eastAsia="Arial" w:hAnsi="Arial"/>
          <w:sz w:val="24"/>
          <w:szCs w:val="24"/>
        </w:rPr>
        <w:t xml:space="preserve">Хозяйствующий субъект, имеющий не менее чем двух третей долей участия государства в уставном капитале, для реализации предоставленных прав пользования недрами вправе вести совместную деятельность с инвестором (инвесторами) путем:</w:t>
      </w:r>
    </w:p>
    <w:p>
      <w:pPr>
        <w:spacing w:after="60"/>
        <w:ind w:firstLine="567"/>
        <w:jc w:val="both"/>
      </w:pPr>
      <w:r>
        <w:rPr>
          <w:rFonts w:ascii="Arial" w:cs="Arial" w:eastAsia="Arial" w:hAnsi="Arial"/>
          <w:sz w:val="24"/>
          <w:szCs w:val="24"/>
        </w:rPr>
        <w:t xml:space="preserve">- заключения договора простого товарищества без образования юридического лица с определением размеров вклада хозяйствующего субъекта согласно пункта 10 настоящего Положения;</w:t>
      </w:r>
    </w:p>
    <w:p>
      <w:pPr>
        <w:spacing w:after="60"/>
        <w:ind w:firstLine="567"/>
        <w:jc w:val="both"/>
      </w:pPr>
      <w:r>
        <w:rPr>
          <w:rFonts w:ascii="Arial" w:cs="Arial" w:eastAsia="Arial" w:hAnsi="Arial"/>
          <w:sz w:val="24"/>
          <w:szCs w:val="24"/>
        </w:rPr>
        <w:t xml:space="preserve">- создания дочернего хозяйственного общества с контрольным пакетом акций (долей в уставном капитале) хозяйствующего субъекта и передачи такому дочернему хозяйственному обществу права пользования недрами по лицензии согласно части 5 </w:t>
      </w:r>
      <w:hyperlink w:history="1" r:id="rIdt-gjbgnqhagi-yp1rmyqm">
        <w:r>
          <w:rPr>
            <w:rFonts w:ascii="Arial" w:cs="Arial" w:eastAsia="Arial" w:hAnsi="Arial"/>
            <w:color w:val="1D4ED8"/>
            <w:sz w:val="24"/>
            <w:szCs w:val="24"/>
            <w:u w:val="single"/>
          </w:rPr>
          <w:t xml:space="preserve">статьи 38</w:t>
        </w:r>
      </w:hyperlink>
      <w:r>
        <w:rPr>
          <w:rFonts w:ascii="Arial" w:cs="Arial" w:eastAsia="Arial" w:hAnsi="Arial"/>
          <w:sz w:val="24"/>
          <w:szCs w:val="24"/>
        </w:rPr>
        <w:t xml:space="preserve"> Закона Кыргызской Республики "О недрах".</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Государственные предприятия и хозяйствующие субъекты, для реализации предоставленных прав пользования недрами угольных месторождений, вправе вести совместную деятельность с инвестором (инвесторами) согласно условиям, указанным в </w:t>
      </w:r>
      <w:hyperlink w:history="1" r:id="rIdiry65quir_2akng9ibpsj">
        <w:r>
          <w:rPr>
            <w:rFonts w:ascii="Arial" w:cs="Arial" w:eastAsia="Arial" w:hAnsi="Arial"/>
            <w:color w:val="1D4ED8"/>
            <w:sz w:val="24"/>
            <w:szCs w:val="24"/>
            <w:u w:val="single"/>
          </w:rPr>
          <w:t xml:space="preserve">пункте 1</w:t>
        </w:r>
      </w:hyperlink>
      <w:r>
        <w:rPr>
          <w:rFonts w:ascii="Arial" w:cs="Arial" w:eastAsia="Arial" w:hAnsi="Arial"/>
          <w:sz w:val="24"/>
          <w:szCs w:val="24"/>
        </w:rPr>
        <w:t xml:space="preserve"> настоящего Положения, без проведения конкурса, то есть прямым заключением договора, при условии, что инвестор (инвесторы) обладает положительной деловой репутацией, опытом успешной реализации проектов в сфере недропользования.</w:t>
      </w:r>
    </w:p>
    <w:p>
      <w:pPr>
        <w:spacing w:after="60"/>
        <w:ind w:firstLine="567"/>
        <w:jc w:val="both"/>
      </w:pPr>
      <w:r>
        <w:rPr>
          <w:rFonts w:ascii="Arial" w:cs="Arial" w:eastAsia="Arial" w:hAnsi="Arial"/>
          <w:i/>
          <w:iCs/>
          <w:sz w:val="24"/>
          <w:szCs w:val="24"/>
        </w:rPr>
        <w:t xml:space="preserve">(В редакции </w:t>
      </w:r>
      <w:hyperlink w:history="1" r:id="rIdqg1oqjuqj4tgsw8hkp21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октября 2023 года № 562)</w:t>
      </w:r>
    </w:p>
    <w:p>
      <w:pPr>
        <w:spacing w:after="120"/>
        <w:ind w:firstLine="567"/>
        <w:jc w:val="both"/>
      </w:pPr>
      <w:r>
        <w:rPr>
          <w:rFonts w:ascii="Arial" w:cs="Arial" w:eastAsia="Arial" w:hAnsi="Arial"/>
          <w:sz w:val="24"/>
          <w:szCs w:val="24"/>
        </w:rPr>
        <w:t xml:space="preserve">1-2. При принятии Кабинетом Министров Кыргызской Республики решения о сотрудничестве государственного предприятия или хозяйствующего субъекта с определенным инвестором по реализации прав пользования недрами конкурс не проводится, а соглашение о совместной деятельности (договор простого товарищества либо учредительные документы совместного предприятия) с таким инвестором заключается напрямую в соответствии с условиями, установленными пунктом 1 настоящего Положения.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r3oitwzkz4xkv31aurwt">
        <w:r>
          <w:rPr>
            <w:rFonts w:ascii="Arial" w:cs="Arial" w:eastAsia="Arial" w:hAnsi="Arial"/>
            <w:i/>
            <w:iCs/>
            <w:color w:val="1D4ED8"/>
            <w:sz w:val="24"/>
            <w:szCs w:val="24"/>
            <w:u w:val="single"/>
          </w:rPr>
          <w:t xml:space="preserve">1 сентября 2025 года № 542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Хозяйствующие субъекты и государственные предприятия посредством публичного объявления размещают на своем сайте (при наличии) и/или официальном сайте уполномоченного государственного органа, реализующего государственную политику в области геологии и недропользования, информацию о проведении конкурса на ведение совместной деятельности по реализации предоставленных прав пользования недрами (далее - конкурс) с указанием:</w:t>
      </w:r>
    </w:p>
    <w:p>
      <w:pPr>
        <w:spacing w:after="60"/>
        <w:ind w:firstLine="567"/>
        <w:jc w:val="both"/>
      </w:pPr>
      <w:r>
        <w:rPr>
          <w:rFonts w:ascii="Arial" w:cs="Arial" w:eastAsia="Arial" w:hAnsi="Arial"/>
          <w:sz w:val="24"/>
          <w:szCs w:val="24"/>
        </w:rPr>
        <w:t xml:space="preserve">1) права пользования недрами;</w:t>
      </w:r>
    </w:p>
    <w:p>
      <w:pPr>
        <w:spacing w:after="60"/>
        <w:ind w:firstLine="567"/>
        <w:jc w:val="both"/>
      </w:pPr>
      <w:r>
        <w:rPr>
          <w:rFonts w:ascii="Arial" w:cs="Arial" w:eastAsia="Arial" w:hAnsi="Arial"/>
          <w:sz w:val="24"/>
          <w:szCs w:val="24"/>
        </w:rPr>
        <w:t xml:space="preserve">2) наименования месторождения;</w:t>
      </w:r>
    </w:p>
    <w:p>
      <w:pPr>
        <w:spacing w:after="60"/>
        <w:ind w:firstLine="567"/>
        <w:jc w:val="both"/>
      </w:pPr>
      <w:r>
        <w:rPr>
          <w:rFonts w:ascii="Arial" w:cs="Arial" w:eastAsia="Arial" w:hAnsi="Arial"/>
          <w:sz w:val="24"/>
          <w:szCs w:val="24"/>
        </w:rPr>
        <w:t xml:space="preserve">3) видов работ;</w:t>
      </w:r>
    </w:p>
    <w:p>
      <w:pPr>
        <w:spacing w:after="60"/>
        <w:ind w:firstLine="567"/>
        <w:jc w:val="both"/>
      </w:pPr>
      <w:r>
        <w:rPr>
          <w:rFonts w:ascii="Arial" w:cs="Arial" w:eastAsia="Arial" w:hAnsi="Arial"/>
          <w:sz w:val="24"/>
          <w:szCs w:val="24"/>
        </w:rPr>
        <w:t xml:space="preserve">4) условий ведения совместной деятельности, с указанием предоставляемых сроков для заключения договора совместной деятельности, учредительного договора или создания юридического лица;</w:t>
      </w:r>
    </w:p>
    <w:p>
      <w:pPr>
        <w:spacing w:after="60"/>
        <w:ind w:firstLine="567"/>
        <w:jc w:val="both"/>
      </w:pPr>
      <w:r>
        <w:rPr>
          <w:rFonts w:ascii="Arial" w:cs="Arial" w:eastAsia="Arial" w:hAnsi="Arial"/>
          <w:sz w:val="24"/>
          <w:szCs w:val="24"/>
        </w:rPr>
        <w:t xml:space="preserve">5) условий конкурса;</w:t>
      </w:r>
    </w:p>
    <w:p>
      <w:pPr>
        <w:spacing w:after="60"/>
        <w:ind w:firstLine="567"/>
        <w:jc w:val="both"/>
      </w:pPr>
      <w:r>
        <w:rPr>
          <w:rFonts w:ascii="Arial" w:cs="Arial" w:eastAsia="Arial" w:hAnsi="Arial"/>
          <w:sz w:val="24"/>
          <w:szCs w:val="24"/>
        </w:rPr>
        <w:t xml:space="preserve">6) требования к участникам, включая, но не ограничиваясь:</w:t>
      </w:r>
    </w:p>
    <w:p>
      <w:pPr>
        <w:spacing w:after="60"/>
        <w:ind w:firstLine="567"/>
        <w:jc w:val="both"/>
      </w:pPr>
      <w:r>
        <w:rPr>
          <w:rFonts w:ascii="Arial" w:cs="Arial" w:eastAsia="Arial" w:hAnsi="Arial"/>
          <w:sz w:val="24"/>
          <w:szCs w:val="24"/>
        </w:rPr>
        <w:t xml:space="preserve">- наличие финансовых возможностей, отсутствие убытков, наличие достаточных оборотных средств;</w:t>
      </w:r>
    </w:p>
    <w:p>
      <w:pPr>
        <w:spacing w:after="60"/>
        <w:ind w:firstLine="567"/>
        <w:jc w:val="both"/>
      </w:pPr>
      <w:r>
        <w:rPr>
          <w:rFonts w:ascii="Arial" w:cs="Arial" w:eastAsia="Arial" w:hAnsi="Arial"/>
          <w:sz w:val="24"/>
          <w:szCs w:val="24"/>
        </w:rPr>
        <w:t xml:space="preserve">- технические возможности, наличие необходимого оборудования, квалифицированных кадров, лицензий (если деятельность лицензируется, для участников-нерезидентов Кыргызской Республики, наличие лицензии страны происхождения, в случае взаимного признания лицензии сторонами на основании международного договора, участницей которого является Кыргызская Республика);</w:t>
      </w:r>
    </w:p>
    <w:p>
      <w:pPr>
        <w:spacing w:after="60"/>
        <w:ind w:firstLine="567"/>
        <w:jc w:val="both"/>
      </w:pPr>
      <w:r>
        <w:rPr>
          <w:rFonts w:ascii="Arial" w:cs="Arial" w:eastAsia="Arial" w:hAnsi="Arial"/>
          <w:sz w:val="24"/>
          <w:szCs w:val="24"/>
        </w:rPr>
        <w:t xml:space="preserve">- опыт работы, объемы произведенных товаров, выполненных работ или услуг;</w:t>
      </w:r>
    </w:p>
    <w:p>
      <w:pPr>
        <w:spacing w:after="60"/>
        <w:ind w:firstLine="567"/>
        <w:jc w:val="both"/>
      </w:pPr>
      <w:r>
        <w:rPr>
          <w:rFonts w:ascii="Arial" w:cs="Arial" w:eastAsia="Arial" w:hAnsi="Arial"/>
          <w:sz w:val="24"/>
          <w:szCs w:val="24"/>
        </w:rPr>
        <w:t xml:space="preserve">- отсутствие задолженности по уплате налогов и страховых взносов в Кыргызской Республике;</w:t>
      </w:r>
    </w:p>
    <w:p>
      <w:pPr>
        <w:spacing w:after="60"/>
        <w:ind w:firstLine="567"/>
        <w:jc w:val="both"/>
      </w:pPr>
      <w:r>
        <w:rPr>
          <w:rFonts w:ascii="Arial" w:cs="Arial" w:eastAsia="Arial" w:hAnsi="Arial"/>
          <w:sz w:val="24"/>
          <w:szCs w:val="24"/>
        </w:rPr>
        <w:t xml:space="preserve">7) перечня запрашиваемых документов, прикладываемых к заявке;</w:t>
      </w:r>
    </w:p>
    <w:p>
      <w:pPr>
        <w:spacing w:after="60"/>
        <w:ind w:firstLine="567"/>
        <w:jc w:val="both"/>
      </w:pPr>
      <w:r>
        <w:rPr>
          <w:rFonts w:ascii="Arial" w:cs="Arial" w:eastAsia="Arial" w:hAnsi="Arial"/>
          <w:sz w:val="24"/>
          <w:szCs w:val="24"/>
        </w:rPr>
        <w:t xml:space="preserve">8) основных условий (предмет договора, срок и др.) заключаемого договора совместной деятельности или учредительного договора;</w:t>
      </w:r>
    </w:p>
    <w:p>
      <w:pPr>
        <w:spacing w:after="60"/>
        <w:ind w:firstLine="567"/>
        <w:jc w:val="both"/>
      </w:pPr>
      <w:r>
        <w:rPr>
          <w:rFonts w:ascii="Arial" w:cs="Arial" w:eastAsia="Arial" w:hAnsi="Arial"/>
          <w:sz w:val="24"/>
          <w:szCs w:val="24"/>
        </w:rPr>
        <w:t xml:space="preserve">9) срока окончания приема заявок (прием заявок устанавливается не менее 30 календарных дней);</w:t>
      </w:r>
    </w:p>
    <w:p>
      <w:pPr>
        <w:spacing w:after="60"/>
        <w:ind w:firstLine="567"/>
        <w:jc w:val="both"/>
      </w:pPr>
      <w:r>
        <w:rPr>
          <w:rFonts w:ascii="Arial" w:cs="Arial" w:eastAsia="Arial" w:hAnsi="Arial"/>
          <w:sz w:val="24"/>
          <w:szCs w:val="24"/>
        </w:rPr>
        <w:t xml:space="preserve">10) времени, месте и форме вскрытия поданных заявок.</w:t>
      </w:r>
    </w:p>
    <w:p>
      <w:pPr>
        <w:spacing w:after="60"/>
        <w:ind w:firstLine="567"/>
        <w:jc w:val="both"/>
      </w:pPr>
      <w:r>
        <w:rPr>
          <w:rFonts w:ascii="Arial" w:cs="Arial" w:eastAsia="Arial" w:hAnsi="Arial"/>
          <w:sz w:val="24"/>
          <w:szCs w:val="24"/>
        </w:rPr>
        <w:t xml:space="preserve">3. Для определения победителя конкурса достаточно одной заявки, поданной лицом, соответствующим требованиям к участникам конкурса.</w:t>
      </w:r>
    </w:p>
    <w:p>
      <w:pPr>
        <w:spacing w:after="60"/>
        <w:ind w:firstLine="567"/>
        <w:jc w:val="both"/>
      </w:pPr>
      <w:r>
        <w:rPr>
          <w:rFonts w:ascii="Arial" w:cs="Arial" w:eastAsia="Arial" w:hAnsi="Arial"/>
          <w:sz w:val="24"/>
          <w:szCs w:val="24"/>
        </w:rPr>
        <w:t xml:space="preserve">В случае, если по завершении срока окончания приема заявок отсутствуют заявки на участие в конкурсе либо ни один из заявителей не соответствует требованиям конкурса, конкурс признается несостоявшимся.</w:t>
      </w:r>
    </w:p>
    <w:p>
      <w:pPr>
        <w:spacing w:after="60"/>
        <w:ind w:firstLine="567"/>
        <w:jc w:val="both"/>
      </w:pPr>
      <w:r>
        <w:rPr>
          <w:rFonts w:ascii="Arial" w:cs="Arial" w:eastAsia="Arial" w:hAnsi="Arial"/>
          <w:sz w:val="24"/>
          <w:szCs w:val="24"/>
        </w:rPr>
        <w:t xml:space="preserve">4. Проведение конкурса основывается на следующих принципах:</w:t>
      </w:r>
    </w:p>
    <w:p>
      <w:pPr>
        <w:spacing w:after="60"/>
        <w:ind w:firstLine="567"/>
        <w:jc w:val="both"/>
      </w:pPr>
      <w:r>
        <w:rPr>
          <w:rFonts w:ascii="Arial" w:cs="Arial" w:eastAsia="Arial" w:hAnsi="Arial"/>
          <w:sz w:val="24"/>
          <w:szCs w:val="24"/>
        </w:rPr>
        <w:t xml:space="preserve">- справедливости, отсутствия дискриминации и необоснованных ограничений конкуренции по отношению к участникам;</w:t>
      </w:r>
    </w:p>
    <w:p>
      <w:pPr>
        <w:spacing w:after="60"/>
        <w:ind w:firstLine="567"/>
        <w:jc w:val="both"/>
      </w:pPr>
      <w:r>
        <w:rPr>
          <w:rFonts w:ascii="Arial" w:cs="Arial" w:eastAsia="Arial" w:hAnsi="Arial"/>
          <w:sz w:val="24"/>
          <w:szCs w:val="24"/>
        </w:rPr>
        <w:t xml:space="preserve">- обеспечения защиты сведений, составляющих коммерческую тайну.</w:t>
      </w:r>
    </w:p>
    <w:p>
      <w:pPr>
        <w:spacing w:after="60"/>
        <w:ind w:firstLine="567"/>
        <w:jc w:val="both"/>
      </w:pPr>
      <w:r>
        <w:rPr>
          <w:rFonts w:ascii="Arial" w:cs="Arial" w:eastAsia="Arial" w:hAnsi="Arial"/>
          <w:sz w:val="24"/>
          <w:szCs w:val="24"/>
        </w:rPr>
        <w:t xml:space="preserve">5. Хозяйствующие субъекты и государственные предприятия для проведения конкурса создают рабочую комиссию путем локального акта из числа своих сотрудников с геологическим, экономическим или юридическим образованием. Также в состав комиссии могут быть включены независимые эксперты и представители общественных объединений (ассоциаций) в сфере недропользования (по согласованию).</w:t>
      </w:r>
    </w:p>
    <w:p>
      <w:pPr>
        <w:spacing w:after="60"/>
        <w:ind w:firstLine="567"/>
        <w:jc w:val="both"/>
      </w:pPr>
      <w:r>
        <w:rPr>
          <w:rFonts w:ascii="Arial" w:cs="Arial" w:eastAsia="Arial" w:hAnsi="Arial"/>
          <w:sz w:val="24"/>
          <w:szCs w:val="24"/>
        </w:rPr>
        <w:t xml:space="preserve">Председателем рабочей комиссии является руководитель хозяйствующего субъекта или государственного предприятия.</w:t>
      </w:r>
    </w:p>
    <w:p>
      <w:pPr>
        <w:spacing w:after="60"/>
        <w:ind w:firstLine="567"/>
        <w:jc w:val="both"/>
      </w:pPr>
      <w:r>
        <w:rPr>
          <w:rFonts w:ascii="Arial" w:cs="Arial" w:eastAsia="Arial" w:hAnsi="Arial"/>
          <w:sz w:val="24"/>
          <w:szCs w:val="24"/>
        </w:rPr>
        <w:t xml:space="preserve">6. Рабочая комиссия правомочна принимать решения при присутствии на заседании не менее двух третей от общего числа членов комиссии.</w:t>
      </w:r>
    </w:p>
    <w:p>
      <w:pPr>
        <w:spacing w:after="60"/>
        <w:ind w:firstLine="567"/>
        <w:jc w:val="both"/>
      </w:pPr>
      <w:r>
        <w:rPr>
          <w:rFonts w:ascii="Arial" w:cs="Arial" w:eastAsia="Arial" w:hAnsi="Arial"/>
          <w:sz w:val="24"/>
          <w:szCs w:val="24"/>
        </w:rPr>
        <w:t xml:space="preserve">Решения комиссии о соответствии участника требованиям согласно подпункту 6 пункта 2 настоящего Положения принимаются простым большинством голосов. При равенстве голосов, голос председателя рабочей комиссии является решающим.</w:t>
      </w:r>
    </w:p>
    <w:p>
      <w:pPr>
        <w:spacing w:after="60"/>
        <w:ind w:firstLine="567"/>
        <w:jc w:val="both"/>
      </w:pPr>
      <w:r>
        <w:rPr>
          <w:rFonts w:ascii="Arial" w:cs="Arial" w:eastAsia="Arial" w:hAnsi="Arial"/>
          <w:sz w:val="24"/>
          <w:szCs w:val="24"/>
        </w:rPr>
        <w:t xml:space="preserve">Заседание рабочей комиссии оформляется протоколом, который подписывается всеми участвующими на заседании членами комиссии.</w:t>
      </w:r>
    </w:p>
    <w:p>
      <w:pPr>
        <w:spacing w:after="60"/>
        <w:ind w:firstLine="567"/>
        <w:jc w:val="both"/>
      </w:pPr>
      <w:r>
        <w:rPr>
          <w:rFonts w:ascii="Arial" w:cs="Arial" w:eastAsia="Arial" w:hAnsi="Arial"/>
          <w:sz w:val="24"/>
          <w:szCs w:val="24"/>
        </w:rPr>
        <w:t xml:space="preserve">7. Участник конкурса направляет в течение срока приема заявок в адрес рабочей комиссии документы согласно указанному в объявлении перечню, в том числе заявку с предлагаемым размером вклада хозяйствующего субъекта при ведении совместной деятельности по реализации предоставленных прав пользования недрами не ниже размеров, указанных в пункте 10 настоящего Положения.</w:t>
      </w:r>
    </w:p>
    <w:p>
      <w:pPr>
        <w:spacing w:after="60"/>
        <w:ind w:firstLine="567"/>
        <w:jc w:val="both"/>
      </w:pPr>
      <w:r>
        <w:rPr>
          <w:rFonts w:ascii="Arial" w:cs="Arial" w:eastAsia="Arial" w:hAnsi="Arial"/>
          <w:sz w:val="24"/>
          <w:szCs w:val="24"/>
        </w:rPr>
        <w:t xml:space="preserve">Несоответствие участника требованиям согласно подпункту 6 пункта 2 настоящего Положения, а также непредоставления полного перечня запрашиваемых документов является основанием для отклонения поданной заявки.</w:t>
      </w:r>
    </w:p>
    <w:p>
      <w:pPr>
        <w:spacing w:after="60"/>
        <w:ind w:firstLine="567"/>
        <w:jc w:val="both"/>
      </w:pPr>
      <w:r>
        <w:rPr>
          <w:rFonts w:ascii="Arial" w:cs="Arial" w:eastAsia="Arial" w:hAnsi="Arial"/>
          <w:sz w:val="24"/>
          <w:szCs w:val="24"/>
        </w:rPr>
        <w:t xml:space="preserve">8. Члены рабочей комиссии для определения победителя оценивают по пятибалльной шкале поданные заявки по каждому из следующих критериев, в зависимости от:</w:t>
      </w:r>
    </w:p>
    <w:p>
      <w:pPr>
        <w:spacing w:after="60"/>
        <w:ind w:firstLine="567"/>
        <w:jc w:val="both"/>
      </w:pPr>
      <w:r>
        <w:rPr>
          <w:rFonts w:ascii="Arial" w:cs="Arial" w:eastAsia="Arial" w:hAnsi="Arial"/>
          <w:sz w:val="24"/>
          <w:szCs w:val="24"/>
        </w:rPr>
        <w:t xml:space="preserve">1) предложенного размера вклада хозяйствующего субъекта или государственного предприятия;</w:t>
      </w:r>
    </w:p>
    <w:p>
      <w:pPr>
        <w:spacing w:after="60"/>
        <w:ind w:firstLine="567"/>
        <w:jc w:val="both"/>
      </w:pPr>
      <w:r>
        <w:rPr>
          <w:rFonts w:ascii="Arial" w:cs="Arial" w:eastAsia="Arial" w:hAnsi="Arial"/>
          <w:sz w:val="24"/>
          <w:szCs w:val="24"/>
        </w:rPr>
        <w:t xml:space="preserve">2) предлагаемого комплекса мер по обеспечению промышленной, экологической безопасности, охраны недр и рационального использования полезных ископаемых;</w:t>
      </w:r>
    </w:p>
    <w:p>
      <w:pPr>
        <w:spacing w:after="60"/>
        <w:ind w:firstLine="567"/>
        <w:jc w:val="both"/>
      </w:pPr>
      <w:r>
        <w:rPr>
          <w:rFonts w:ascii="Arial" w:cs="Arial" w:eastAsia="Arial" w:hAnsi="Arial"/>
          <w:sz w:val="24"/>
          <w:szCs w:val="24"/>
        </w:rPr>
        <w:t xml:space="preserve">3) количества создаваемых для местного населения рабочих мест;</w:t>
      </w:r>
    </w:p>
    <w:p>
      <w:pPr>
        <w:spacing w:after="60"/>
        <w:ind w:firstLine="567"/>
        <w:jc w:val="both"/>
      </w:pPr>
      <w:r>
        <w:rPr>
          <w:rFonts w:ascii="Arial" w:cs="Arial" w:eastAsia="Arial" w:hAnsi="Arial"/>
          <w:sz w:val="24"/>
          <w:szCs w:val="24"/>
        </w:rPr>
        <w:t xml:space="preserve">4) порядка и начала работ;</w:t>
      </w:r>
    </w:p>
    <w:p>
      <w:pPr>
        <w:spacing w:after="60"/>
        <w:ind w:firstLine="567"/>
        <w:jc w:val="both"/>
      </w:pPr>
      <w:r>
        <w:rPr>
          <w:rFonts w:ascii="Arial" w:cs="Arial" w:eastAsia="Arial" w:hAnsi="Arial"/>
          <w:sz w:val="24"/>
          <w:szCs w:val="24"/>
        </w:rPr>
        <w:t xml:space="preserve">5) условий социального пакета.</w:t>
      </w:r>
    </w:p>
    <w:p>
      <w:pPr>
        <w:spacing w:after="60"/>
        <w:ind w:firstLine="567"/>
        <w:jc w:val="both"/>
      </w:pPr>
      <w:r>
        <w:rPr>
          <w:rFonts w:ascii="Arial" w:cs="Arial" w:eastAsia="Arial" w:hAnsi="Arial"/>
          <w:sz w:val="24"/>
          <w:szCs w:val="24"/>
        </w:rPr>
        <w:t xml:space="preserve">9. Рабочая комиссия принимает решение об определении победителем конкурса участника, набравшего наибольшее количество баллов.</w:t>
      </w:r>
    </w:p>
    <w:p>
      <w:pPr>
        <w:spacing w:after="60"/>
        <w:ind w:firstLine="567"/>
        <w:jc w:val="both"/>
      </w:pPr>
      <w:r>
        <w:rPr>
          <w:rFonts w:ascii="Arial" w:cs="Arial" w:eastAsia="Arial" w:hAnsi="Arial"/>
          <w:sz w:val="24"/>
          <w:szCs w:val="24"/>
        </w:rPr>
        <w:t xml:space="preserve">10. Размер вклада хозяйствующего субъекта или государственного предприятия не может устанавливаться не ниже чем:</w:t>
      </w:r>
    </w:p>
    <w:p>
      <w:pPr>
        <w:spacing w:after="60"/>
        <w:ind w:firstLine="567"/>
        <w:jc w:val="both"/>
      </w:pPr>
      <w:r>
        <w:rPr>
          <w:rFonts w:ascii="Arial" w:cs="Arial" w:eastAsia="Arial" w:hAnsi="Arial"/>
          <w:sz w:val="24"/>
          <w:szCs w:val="24"/>
        </w:rPr>
        <w:t xml:space="preserve">- </w:t>
      </w:r>
      <w:r>
        <w:rPr>
          <w:rFonts w:ascii="Arial" w:cs="Arial" w:eastAsia="Arial" w:hAnsi="Arial"/>
          <w:i/>
          <w:iCs/>
          <w:sz w:val="24"/>
          <w:szCs w:val="24"/>
        </w:rPr>
        <w:t xml:space="preserve">(</w:t>
      </w:r>
      <w:r>
        <w:rPr>
          <w:rFonts w:ascii="Arial" w:cs="Arial" w:eastAsia="Arial" w:hAnsi="Arial"/>
          <w:i/>
          <w:iCs/>
          <w:sz w:val="24"/>
          <w:szCs w:val="24"/>
        </w:rPr>
        <w:t xml:space="preserve">Абзац </w:t>
      </w:r>
      <w:r>
        <w:rPr>
          <w:rFonts w:ascii="Arial" w:cs="Arial" w:eastAsia="Arial" w:hAnsi="Arial"/>
          <w:i/>
          <w:iCs/>
          <w:sz w:val="24"/>
          <w:szCs w:val="24"/>
        </w:rPr>
        <w:t xml:space="preserve">утратил силу в соответствии с </w:t>
      </w:r>
      <w:hyperlink w:history="1" r:id="rIdea3e-l_v2btskkfqdmln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октября 2023 года № 562)</w:t>
      </w:r>
    </w:p>
    <w:p>
      <w:pPr>
        <w:spacing w:after="60"/>
        <w:ind w:firstLine="567"/>
        <w:jc w:val="both"/>
      </w:pPr>
      <w:r>
        <w:rPr>
          <w:rFonts w:ascii="Arial" w:cs="Arial" w:eastAsia="Arial" w:hAnsi="Arial"/>
          <w:sz w:val="24"/>
          <w:szCs w:val="24"/>
        </w:rPr>
        <w:t xml:space="preserve">- 30% на металлические полезные ископаемые: золото (коренное, россыпное), серебро, платиноиды, редкоземельные и рассеянные элементы (редкие земли, тантал, ниобий, гафний, цирконий, цезий, литий), черные металлы (железо, марганец, хром, титан, ванадий), цветные металлы (алюминий, рубидий, медь, никель, кобальт, свинец, цинк), редкие металлы (олово, вольфрам, молибден, бериллий, висмут, ртуть, сурьма, стронций);</w:t>
      </w:r>
    </w:p>
    <w:p>
      <w:pPr>
        <w:spacing w:after="60"/>
        <w:ind w:firstLine="567"/>
        <w:jc w:val="both"/>
      </w:pPr>
      <w:r>
        <w:rPr>
          <w:rFonts w:ascii="Arial" w:cs="Arial" w:eastAsia="Arial" w:hAnsi="Arial"/>
          <w:sz w:val="24"/>
          <w:szCs w:val="24"/>
        </w:rPr>
        <w:t xml:space="preserve">- 40% на неметаллические полезные ископаемые (нерудные): песок, гравий, глина, мел, известняк, графит, асбест, различные соли, торф, драгоценные и поделочные камни.</w:t>
      </w:r>
    </w:p>
    <w:p>
      <w:pPr>
        <w:spacing w:after="60"/>
        <w:ind w:firstLine="567"/>
        <w:jc w:val="both"/>
      </w:pPr>
      <w:r>
        <w:rPr>
          <w:rFonts w:ascii="Arial" w:cs="Arial" w:eastAsia="Arial" w:hAnsi="Arial"/>
          <w:sz w:val="24"/>
          <w:szCs w:val="24"/>
        </w:rPr>
        <w:t xml:space="preserve">Размер вклада хозяйствующего субъекта или государственного предприятия может устанавливаться до 40% на горючие полезные ископаемые: уголь, нефть, природный газ, горючие сланцы, за исключением случаев ведения разработки угля подземным способом, размер вклада на который может устанавливаться до 30%.</w:t>
      </w:r>
    </w:p>
    <w:p>
      <w:pPr>
        <w:spacing w:after="60"/>
        <w:ind w:firstLine="567"/>
        <w:jc w:val="both"/>
      </w:pPr>
      <w:r>
        <w:rPr>
          <w:rFonts w:ascii="Arial" w:cs="Arial" w:eastAsia="Arial" w:hAnsi="Arial"/>
          <w:i/>
          <w:iCs/>
          <w:sz w:val="24"/>
          <w:szCs w:val="24"/>
        </w:rPr>
        <w:t xml:space="preserve">(В редакции </w:t>
      </w:r>
      <w:hyperlink w:history="1" r:id="rId94uxapj2vl0ano1wltaa2">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октября 2023 года № 562)</w:t>
      </w:r>
    </w:p>
    <w:p>
      <w:pPr>
        <w:spacing w:after="120"/>
        <w:ind w:firstLine="567"/>
        <w:jc w:val="both"/>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 Размер вклада хозяйствующего субъекта или государственного предприятия, задействованных в подготовке и прохождении осенне-зимнего периода и осуществляющих поставку угля муниципальному предприятию "Бишкек теплоэлектроцентраль", может устанавливаться в размере 30%.</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rihkggw5t8qoebsmilc-">
        <w:r>
          <w:rPr>
            <w:rFonts w:ascii="Arial" w:cs="Arial" w:eastAsia="Arial" w:hAnsi="Arial"/>
            <w:i/>
            <w:iCs/>
            <w:color w:val="1D4ED8"/>
            <w:sz w:val="24"/>
            <w:szCs w:val="24"/>
            <w:u w:val="single"/>
          </w:rPr>
          <w:t xml:space="preserve">1 июля 2025 года № 382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Не позднее следующего рабочего дня после истечения срока приема заявок рабочая комиссия оформляет протокол об определении победителя конкурса с отражением информации о количестве претендентов, предложенных ими условиях и иных сведений согласно настоящему Положению и направляет его для рассмотрения органу управления хозяйствующего субъекта или государственного предприятия для принятия решения о заключении соответствующей сделки.</w:t>
      </w:r>
    </w:p>
    <w:p>
      <w:pPr>
        <w:spacing w:after="60"/>
        <w:ind w:firstLine="567"/>
        <w:jc w:val="both"/>
      </w:pPr>
      <w:r>
        <w:rPr>
          <w:rFonts w:ascii="Arial" w:cs="Arial" w:eastAsia="Arial" w:hAnsi="Arial"/>
          <w:sz w:val="24"/>
          <w:szCs w:val="24"/>
        </w:rPr>
        <w:t xml:space="preserve">12. По итогам рассмотрения протокола заседания рабочей комиссии хозяйствующий субъект или государственное предприятие направляет проект договора простого товарищества либо проекты учредительных документов создаваемого юридического лица победителю конкурса, который должен направить подписанные договоры в срок, не превышающий 10 календарных дней.</w:t>
      </w:r>
    </w:p>
    <w:p>
      <w:pPr>
        <w:spacing w:after="60"/>
        <w:ind w:firstLine="567"/>
        <w:jc w:val="both"/>
      </w:pPr>
      <w:r>
        <w:rPr>
          <w:rFonts w:ascii="Arial" w:cs="Arial" w:eastAsia="Arial" w:hAnsi="Arial"/>
          <w:sz w:val="24"/>
          <w:szCs w:val="24"/>
        </w:rPr>
        <w:t xml:space="preserve">13. Проект договора простого товарищества, проекты учредительных документов создаваемого юридического лица должны содержать условия, в соответствии с протоколом заседания рабочей комиссии, включая размеры вкладов сторон, распределение прибыли и убытков, ответственность сторон в случае неисполнения или ненадлежащего исполнения обязательств, порядок и условия прекращения совместной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kwnefwmu-u6lbq7tvus2">
      <w:r>
        <w:rPr>
          <w:rFonts w:ascii="Arial" w:cs="Arial" w:eastAsia="Arial" w:hAnsi="Arial"/>
          <w:color w:val="132D3F"/>
          <w:sz w:val="16"/>
          <w:szCs w:val="16"/>
          <w:u w:val="single"/>
        </w:rPr>
        <w:t xml:space="preserve">dalil.kg/document/159389</w:t>
      </w:r>
    </w:hyperlink>
  </w:p>
  <w:p>
    <w:pPr>
      <w:spacing w:after="0" w:before="40"/>
      <w:jc w:val="center"/>
    </w:pPr>
    <w:hyperlink w:history="1" r:id="rId9mjqtsvd27bmtgvok4br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pu4brr7m-1am8th8ozzk" Type="http://schemas.openxmlformats.org/officeDocument/2006/relationships/hyperlink" Target="https://dalil.kg/document/160505" TargetMode="External"/><Relationship Id="rIdlso7dfxezgc4n13piemrp" Type="http://schemas.openxmlformats.org/officeDocument/2006/relationships/hyperlink" Target="https://dalil.kg/document/230029687" TargetMode="External"/><Relationship Id="rIdijduwwehe_yoacxrkfdiy" Type="http://schemas.openxmlformats.org/officeDocument/2006/relationships/hyperlink" Target="https://dalil.kg/document/230031968" TargetMode="External"/><Relationship Id="rIdt-gjbgnqhagi-yp1rmyqm" Type="http://schemas.openxmlformats.org/officeDocument/2006/relationships/hyperlink" Target="https://dalil.kg/document/111782#st_38" TargetMode="External"/><Relationship Id="rIdiry65quir_2akng9ibpsj" Type="http://schemas.openxmlformats.org/officeDocument/2006/relationships/hyperlink" Target="https://dalil.kg/document/159389#p1" TargetMode="External"/><Relationship Id="rIdqg1oqjuqj4tgsw8hkp21g" Type="http://schemas.openxmlformats.org/officeDocument/2006/relationships/hyperlink" Target="https://dalil.kg/document/160505" TargetMode="External"/><Relationship Id="rIdfr3oitwzkz4xkv31aurwt" Type="http://schemas.openxmlformats.org/officeDocument/2006/relationships/hyperlink" Target="https://dalil.kg/document/230031968" TargetMode="External"/><Relationship Id="rIdea3e-l_v2btskkfqdmlnc" Type="http://schemas.openxmlformats.org/officeDocument/2006/relationships/hyperlink" Target="https://dalil.kg/document/160505" TargetMode="External"/><Relationship Id="rId94uxapj2vl0ano1wltaa2" Type="http://schemas.openxmlformats.org/officeDocument/2006/relationships/hyperlink" Target="https://dalil.kg/document/160505" TargetMode="External"/><Relationship Id="rIdkrihkggw5t8qoebsmilc-" Type="http://schemas.openxmlformats.org/officeDocument/2006/relationships/hyperlink" Target="https://dalil.kg/document/23002968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kwnefwmu-u6lbq7tvus2" Type="http://schemas.openxmlformats.org/officeDocument/2006/relationships/hyperlink" Target="https://dalil.kg/document/159389" TargetMode="External"/><Relationship Id="rId9mjqtsvd27bmtgvok4br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2026-09-27T09:56:26.460Z</dcterms:created>
  <dcterms:modified xsi:type="dcterms:W3CDTF">2026-09-27T09:56:26.460Z</dcterms:modified>
</cp:coreProperties>
</file>

<file path=docProps/custom.xml><?xml version="1.0" encoding="utf-8"?>
<Properties xmlns="http://schemas.openxmlformats.org/officeDocument/2006/custom-properties" xmlns:vt="http://schemas.openxmlformats.org/officeDocument/2006/docPropsVTypes"/>
</file>