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w:t>
      </w:r>
    </w:p>
    <w:p>
      <w:pPr>
        <w:spacing w:after="400" w:before="400"/>
        <w:jc w:val="center"/>
      </w:pPr>
      <w:r>
        <w:rPr>
          <w:rFonts w:ascii="Arial" w:cs="Arial" w:eastAsia="Arial" w:hAnsi="Arial"/>
          <w:b/>
          <w:bCs/>
          <w:sz w:val="28"/>
          <w:szCs w:val="28"/>
        </w:rPr>
        <w:t xml:space="preserve">ПОРЯДОК</w:t>
      </w:r>
      <w:r>
        <w:rPr>
          <w:rFonts w:ascii="Arial" w:cs="Arial" w:eastAsia="Arial" w:hAnsi="Arial"/>
          <w:b/>
          <w:bCs/>
          <w:sz w:val="28"/>
          <w:szCs w:val="28"/>
        </w:rPr>
        <w:t xml:space="preserve">
 выявления монопольно высокой (низкой) цены</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0"/>
          <w:szCs w:val="20"/>
        </w:rPr>
        <w:t xml:space="preserve">1. Настоящий Порядок разработан в соответствии с частями 3 статей </w:t>
      </w:r>
      <w:hyperlink w:history="1" r:id="rIdmdjr7h4hwo3m6gzsksgir">
        <w:r>
          <w:rPr>
            <w:rFonts w:ascii="Arial" w:cs="Arial" w:eastAsia="Arial" w:hAnsi="Arial"/>
            <w:color w:val="1D4ED8"/>
            <w:sz w:val="20"/>
            <w:szCs w:val="20"/>
            <w:u w:val="single"/>
          </w:rPr>
          <w:t xml:space="preserve">4</w:t>
        </w:r>
        <w:r>
          <w:rPr>
            <w:rFonts w:ascii="Arial" w:cs="Arial" w:eastAsia="Arial" w:hAnsi="Arial"/>
            <w:color w:val="1D4ED8"/>
            <w:sz w:val="20"/>
            <w:szCs w:val="20"/>
            <w:u w:val="single"/>
          </w:rPr>
          <w:t xml:space="preserve">1</w:t>
        </w:r>
      </w:hyperlink>
      <w:r>
        <w:rPr>
          <w:rFonts w:ascii="Arial" w:cs="Arial" w:eastAsia="Arial" w:hAnsi="Arial"/>
          <w:sz w:val="20"/>
          <w:szCs w:val="20"/>
        </w:rPr>
        <w:t xml:space="preserve"> и </w:t>
      </w:r>
      <w:hyperlink w:history="1" r:id="rIdcob-5egmmpz3zo3olwkov">
        <w:r>
          <w:rPr>
            <w:rFonts w:ascii="Arial" w:cs="Arial" w:eastAsia="Arial" w:hAnsi="Arial"/>
            <w:color w:val="1D4ED8"/>
            <w:sz w:val="20"/>
            <w:szCs w:val="20"/>
            <w:u w:val="single"/>
          </w:rPr>
          <w:t xml:space="preserve">4</w:t>
        </w:r>
        <w:r>
          <w:rPr>
            <w:rFonts w:ascii="Arial" w:cs="Arial" w:eastAsia="Arial" w:hAnsi="Arial"/>
            <w:color w:val="1D4ED8"/>
            <w:sz w:val="20"/>
            <w:szCs w:val="20"/>
            <w:u w:val="single"/>
          </w:rPr>
          <w:t xml:space="preserve">2</w:t>
        </w:r>
      </w:hyperlink>
      <w:r>
        <w:rPr>
          <w:rFonts w:ascii="Arial" w:cs="Arial" w:eastAsia="Arial" w:hAnsi="Arial"/>
          <w:sz w:val="20"/>
          <w:szCs w:val="20"/>
        </w:rPr>
        <w:t xml:space="preserve"> Закона Кыргызской Республики "О конкуренции" и применяется антимонопольным органом при выявлении монопольно высокой (низкой) цены, установленной хозяйствующим субъектом, занимающим доминирующее положение на товарном рынке.</w:t>
      </w:r>
    </w:p>
    <w:p>
      <w:pPr>
        <w:spacing w:after="60"/>
        <w:ind w:firstLine="567"/>
        <w:jc w:val="both"/>
      </w:pPr>
      <w:r>
        <w:rPr>
          <w:rFonts w:ascii="Arial" w:cs="Arial" w:eastAsia="Arial" w:hAnsi="Arial"/>
          <w:sz w:val="20"/>
          <w:szCs w:val="20"/>
        </w:rPr>
        <w:t xml:space="preserve">2. В настоящем Порядке используются понятия, определенные </w:t>
      </w:r>
      <w:hyperlink w:history="1" r:id="rIdqrb_ekz_a_m8ccg6pfv54">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Кыргызской Республики "О конкуренции", а также следующие понятия:</w:t>
      </w:r>
    </w:p>
    <w:p>
      <w:pPr>
        <w:spacing w:after="60"/>
        <w:ind w:firstLine="567"/>
        <w:jc w:val="both"/>
      </w:pPr>
      <w:r>
        <w:rPr>
          <w:rFonts w:ascii="Arial" w:cs="Arial" w:eastAsia="Arial" w:hAnsi="Arial"/>
          <w:sz w:val="20"/>
          <w:szCs w:val="20"/>
        </w:rPr>
        <w:t xml:space="preserve">- </w:t>
      </w:r>
      <w:r>
        <w:rPr>
          <w:rFonts w:ascii="Arial" w:cs="Arial" w:eastAsia="Arial" w:hAnsi="Arial"/>
          <w:b/>
          <w:bCs/>
          <w:sz w:val="20"/>
          <w:szCs w:val="20"/>
        </w:rPr>
        <w:t xml:space="preserve">сопоставимый товарный рынок</w:t>
      </w:r>
      <w:r>
        <w:rPr>
          <w:rFonts w:ascii="Arial" w:cs="Arial" w:eastAsia="Arial" w:hAnsi="Arial"/>
          <w:sz w:val="20"/>
          <w:szCs w:val="20"/>
        </w:rPr>
        <w:t xml:space="preserve"> - товарный рынок, сопоставимый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таможенно-тарифное, тарифное и нетарифное, при наличии такого рынка на территории Кыргызской Республики или за ее пределами;</w:t>
      </w:r>
    </w:p>
    <w:p>
      <w:pPr>
        <w:spacing w:after="60"/>
        <w:ind w:firstLine="567"/>
        <w:jc w:val="both"/>
      </w:pPr>
      <w:r>
        <w:rPr>
          <w:rFonts w:ascii="Arial" w:cs="Arial" w:eastAsia="Arial" w:hAnsi="Arial"/>
          <w:sz w:val="20"/>
          <w:szCs w:val="20"/>
        </w:rPr>
        <w:t xml:space="preserve">- </w:t>
      </w:r>
      <w:r>
        <w:rPr>
          <w:rFonts w:ascii="Arial" w:cs="Arial" w:eastAsia="Arial" w:hAnsi="Arial"/>
          <w:b/>
          <w:bCs/>
          <w:sz w:val="20"/>
          <w:szCs w:val="20"/>
        </w:rPr>
        <w:t xml:space="preserve">конкурентная цена товара</w:t>
      </w:r>
      <w:r>
        <w:rPr>
          <w:rFonts w:ascii="Arial" w:cs="Arial" w:eastAsia="Arial" w:hAnsi="Arial"/>
          <w:sz w:val="20"/>
          <w:szCs w:val="20"/>
        </w:rPr>
        <w:t xml:space="preserve"> - максимальная цена товара на данном товарном рынке, которую в условиях конкуренции устанавливают хозяйствующие субъекты, не входящие в одну группу лиц с хозяйствующим субъектом, занимающим доминирующее положение. При этом учитываются хозяйствующие субъекты, соответствующие условию состязательности хозяйствующих субъектов, при которой их самостоятельные действия эффективно ограничивают возможность каждого из них односторонне воздействовать на общие условия обращения товаров на соответствующем товарном рынке.</w:t>
      </w:r>
    </w:p>
    <w:p>
      <w:pPr>
        <w:spacing w:after="60"/>
        <w:ind w:firstLine="567"/>
        <w:jc w:val="both"/>
      </w:pPr>
      <w:r>
        <w:rPr>
          <w:rFonts w:ascii="Arial" w:cs="Arial" w:eastAsia="Arial" w:hAnsi="Arial"/>
          <w:sz w:val="20"/>
          <w:szCs w:val="20"/>
        </w:rPr>
        <w:t xml:space="preserve">3. Под монопольно высокой ценой товара понимается цена, установленная хозяйствующим субъектом, занимающим доминирующее положение, если:</w:t>
      </w:r>
    </w:p>
    <w:p>
      <w:pPr>
        <w:spacing w:after="60"/>
        <w:ind w:firstLine="567"/>
        <w:jc w:val="both"/>
      </w:pPr>
      <w:r>
        <w:rPr>
          <w:rFonts w:ascii="Arial" w:cs="Arial" w:eastAsia="Arial" w:hAnsi="Arial"/>
          <w:sz w:val="20"/>
          <w:szCs w:val="20"/>
        </w:rPr>
        <w:t xml:space="preserve">1) эта цена превышает максимально высокую цену, которую на этом же товарном рынке в условиях конкуренции устанавливает хозяйствующий субъект, не входящий в одну группу лиц с хозяйствующим субъектом, занимающим доминирующее положение, или превышает цену на сопоставимом товарном рынке, которая сформировалась в условиях конкуренции;</w:t>
      </w:r>
    </w:p>
    <w:p>
      <w:pPr>
        <w:spacing w:after="60"/>
        <w:ind w:firstLine="567"/>
        <w:jc w:val="both"/>
      </w:pPr>
      <w:r>
        <w:rPr>
          <w:rFonts w:ascii="Arial" w:cs="Arial" w:eastAsia="Arial" w:hAnsi="Arial"/>
          <w:sz w:val="20"/>
          <w:szCs w:val="20"/>
        </w:rPr>
        <w:t xml:space="preserve">2) эта цена превышает сумму необходимых для производства и реализации такого товара расходов и норму прибыли, сложившихся у хозяйствующих субъектов в условиях конкуренции.</w:t>
      </w:r>
    </w:p>
    <w:p>
      <w:pPr>
        <w:spacing w:after="60"/>
        <w:ind w:firstLine="567"/>
        <w:jc w:val="both"/>
      </w:pPr>
      <w:r>
        <w:rPr>
          <w:rFonts w:ascii="Arial" w:cs="Arial" w:eastAsia="Arial" w:hAnsi="Arial"/>
          <w:sz w:val="20"/>
          <w:szCs w:val="20"/>
        </w:rPr>
        <w:t xml:space="preserve">Не может быть признана монопольно высокой цена, установленная субъектом естественной монополии в пределах цен (тарифа) на такой товар, определенных в соответствии с </w:t>
      </w:r>
      <w:hyperlink w:history="1" r:id="rId-ppdzlfeqafbhmgpbuxhh">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Кыргызской Республики "О естественных монополиях в Кыргызской Республике", а также цена товара, являющегося результатом инновационной деятельности, то есть деятельности, приводящей к созданию нового невзаимозаменяемого товара.</w:t>
      </w:r>
    </w:p>
    <w:p>
      <w:pPr>
        <w:spacing w:after="60"/>
        <w:ind w:firstLine="567"/>
        <w:jc w:val="both"/>
      </w:pPr>
      <w:r>
        <w:rPr>
          <w:rFonts w:ascii="Arial" w:cs="Arial" w:eastAsia="Arial" w:hAnsi="Arial"/>
          <w:sz w:val="20"/>
          <w:szCs w:val="20"/>
        </w:rPr>
        <w:t xml:space="preserve">4. Под монопольно низкой ценой товара понимается цена, установленная хозяйствующим субъектом, занимающим доминирующее положение, если:</w:t>
      </w:r>
    </w:p>
    <w:p>
      <w:pPr>
        <w:spacing w:after="60"/>
        <w:ind w:firstLine="567"/>
        <w:jc w:val="both"/>
      </w:pPr>
      <w:r>
        <w:rPr>
          <w:rFonts w:ascii="Arial" w:cs="Arial" w:eastAsia="Arial" w:hAnsi="Arial"/>
          <w:sz w:val="20"/>
          <w:szCs w:val="20"/>
        </w:rPr>
        <w:t xml:space="preserve">1) эта цена ниже цены, которую на этом же товарном рынке устанавливает хозяйствующий субъект, не входящий в одну группу лиц с хозяйствующим субъектом рынка, занимающим доминирующее положение, или ниже цены, которая сформировалась в условиях конкуренции на сопоставимом товарном рынке;</w:t>
      </w:r>
    </w:p>
    <w:p>
      <w:pPr>
        <w:spacing w:after="60"/>
        <w:ind w:firstLine="567"/>
        <w:jc w:val="both"/>
      </w:pPr>
      <w:r>
        <w:rPr>
          <w:rFonts w:ascii="Arial" w:cs="Arial" w:eastAsia="Arial" w:hAnsi="Arial"/>
          <w:sz w:val="20"/>
          <w:szCs w:val="20"/>
        </w:rPr>
        <w:t xml:space="preserve">2) эта цена ниже суммы фактических расходов на производство и реализацию такого товара.</w:t>
      </w:r>
    </w:p>
    <w:p>
      <w:pPr>
        <w:spacing w:after="60"/>
        <w:ind w:firstLine="567"/>
        <w:jc w:val="both"/>
      </w:pPr>
      <w:r>
        <w:rPr>
          <w:rFonts w:ascii="Arial" w:cs="Arial" w:eastAsia="Arial" w:hAnsi="Arial"/>
          <w:sz w:val="20"/>
          <w:szCs w:val="20"/>
        </w:rPr>
        <w:t xml:space="preserve">Не признается монопольно низкой цена товара в случае если:</w:t>
      </w:r>
    </w:p>
    <w:p>
      <w:pPr>
        <w:spacing w:after="60"/>
        <w:ind w:firstLine="567"/>
        <w:jc w:val="both"/>
      </w:pPr>
      <w:r>
        <w:rPr>
          <w:rFonts w:ascii="Arial" w:cs="Arial" w:eastAsia="Arial" w:hAnsi="Arial"/>
          <w:sz w:val="20"/>
          <w:szCs w:val="20"/>
        </w:rPr>
        <w:t xml:space="preserve">1) она не ниже цены, которая сформировалась в условиях конкуренции на сопоставимом товарном рынке;</w:t>
      </w:r>
    </w:p>
    <w:p>
      <w:pPr>
        <w:spacing w:after="60"/>
        <w:ind w:firstLine="567"/>
        <w:jc w:val="both"/>
      </w:pPr>
      <w:r>
        <w:rPr>
          <w:rFonts w:ascii="Arial" w:cs="Arial" w:eastAsia="Arial" w:hAnsi="Arial"/>
          <w:sz w:val="20"/>
          <w:szCs w:val="20"/>
        </w:rPr>
        <w:t xml:space="preserve">2)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pPr>
        <w:spacing w:after="60"/>
        <w:ind w:firstLine="567"/>
        <w:jc w:val="both"/>
      </w:pPr>
      <w:r>
        <w:rPr>
          <w:rFonts w:ascii="Arial" w:cs="Arial" w:eastAsia="Arial" w:hAnsi="Arial"/>
          <w:sz w:val="20"/>
          <w:szCs w:val="20"/>
        </w:rPr>
        <w:t xml:space="preserve">5. Антимонопольный орган проводит анализ обоснованности изменения цен хозяйствующих субъектов, занимающих доминирующее положение при:</w:t>
      </w:r>
    </w:p>
    <w:p>
      <w:pPr>
        <w:spacing w:after="60"/>
        <w:ind w:firstLine="567"/>
        <w:jc w:val="both"/>
      </w:pPr>
      <w:r>
        <w:rPr>
          <w:rFonts w:ascii="Arial" w:cs="Arial" w:eastAsia="Arial" w:hAnsi="Arial"/>
          <w:sz w:val="20"/>
          <w:szCs w:val="20"/>
        </w:rPr>
        <w:t xml:space="preserve">- проведении экономико-статистического наблюдения за хозяйствующими субъектами, занимающими доминирующее положение на товарном рынке;</w:t>
      </w:r>
    </w:p>
    <w:p>
      <w:pPr>
        <w:spacing w:after="60"/>
        <w:ind w:firstLine="567"/>
        <w:jc w:val="both"/>
      </w:pPr>
      <w:r>
        <w:rPr>
          <w:rFonts w:ascii="Arial" w:cs="Arial" w:eastAsia="Arial" w:hAnsi="Arial"/>
          <w:sz w:val="20"/>
          <w:szCs w:val="20"/>
        </w:rPr>
        <w:t xml:space="preserve">- проведении анализа и оценки состояния конкуренции на товарных рынках;</w:t>
      </w:r>
    </w:p>
    <w:p>
      <w:pPr>
        <w:spacing w:after="60"/>
        <w:ind w:firstLine="567"/>
        <w:jc w:val="both"/>
      </w:pPr>
      <w:r>
        <w:rPr>
          <w:rFonts w:ascii="Arial" w:cs="Arial" w:eastAsia="Arial" w:hAnsi="Arial"/>
          <w:sz w:val="20"/>
          <w:szCs w:val="20"/>
        </w:rPr>
        <w:t xml:space="preserve">- рассмотрении обращений (заявлений, жалоб);</w:t>
      </w:r>
    </w:p>
    <w:p>
      <w:pPr>
        <w:spacing w:after="60"/>
        <w:ind w:firstLine="567"/>
        <w:jc w:val="both"/>
      </w:pPr>
      <w:r>
        <w:rPr>
          <w:rFonts w:ascii="Arial" w:cs="Arial" w:eastAsia="Arial" w:hAnsi="Arial"/>
          <w:sz w:val="20"/>
          <w:szCs w:val="20"/>
        </w:rPr>
        <w:t xml:space="preserve">- осуществлении предусмотренных законодательством функций по контролю за соблюдением антимонопольного законодательства.</w:t>
      </w:r>
    </w:p>
    <w:p>
      <w:pPr>
        <w:spacing w:after="200" w:before="200"/>
        <w:jc w:val="center"/>
      </w:pPr>
      <w:r>
        <w:rPr>
          <w:rFonts w:ascii="Arial" w:cs="Arial" w:eastAsia="Arial" w:hAnsi="Arial"/>
          <w:b/>
          <w:bCs/>
          <w:sz w:val="24"/>
          <w:szCs w:val="24"/>
        </w:rPr>
        <w:t xml:space="preserve">2. Выявление монопольно высокой (низкой) цены</w:t>
      </w:r>
    </w:p>
    <w:p>
      <w:pPr>
        <w:spacing w:after="60"/>
        <w:ind w:firstLine="567"/>
        <w:jc w:val="both"/>
      </w:pPr>
      <w:r>
        <w:rPr>
          <w:rFonts w:ascii="Arial" w:cs="Arial" w:eastAsia="Arial" w:hAnsi="Arial"/>
          <w:sz w:val="20"/>
          <w:szCs w:val="20"/>
        </w:rPr>
        <w:t xml:space="preserve">6. Антимонопольный орган с целью выявления признаков монопольно высокой цены товара, установленной хозяйствующим субъектом, занимающим доминирующее положение, проводит анализ динамики цен и объемов производства (реализации) товара, в том числе:</w:t>
      </w:r>
    </w:p>
    <w:p>
      <w:pPr>
        <w:spacing w:after="60"/>
        <w:ind w:firstLine="567"/>
        <w:jc w:val="both"/>
      </w:pPr>
      <w:r>
        <w:rPr>
          <w:rFonts w:ascii="Arial" w:cs="Arial" w:eastAsia="Arial" w:hAnsi="Arial"/>
          <w:sz w:val="20"/>
          <w:szCs w:val="20"/>
        </w:rPr>
        <w:t xml:space="preserve">1) установление хозяйствующим субъектом цены на товар, по которому положение хозяйствующего субъекта признано доминирующим, превышающей цены на такой же товар других хозяйствующих субъектов рынка на соответствующем или сопоставимом товарном рынке;</w:t>
      </w:r>
    </w:p>
    <w:p>
      <w:pPr>
        <w:spacing w:after="60"/>
        <w:ind w:firstLine="567"/>
        <w:jc w:val="both"/>
      </w:pPr>
      <w:r>
        <w:rPr>
          <w:rFonts w:ascii="Arial" w:cs="Arial" w:eastAsia="Arial" w:hAnsi="Arial"/>
          <w:sz w:val="20"/>
          <w:szCs w:val="20"/>
        </w:rPr>
        <w:t xml:space="preserve">2) превышение темпов роста цен на товар, по которому положение хозяйствующего субъекта признано доминирующим, по сравнению с соответствующими темпами роста цен на соответствующем или сопоставимом товарном рынке;</w:t>
      </w:r>
    </w:p>
    <w:p>
      <w:pPr>
        <w:spacing w:after="60"/>
        <w:ind w:firstLine="567"/>
        <w:jc w:val="both"/>
      </w:pPr>
      <w:r>
        <w:rPr>
          <w:rFonts w:ascii="Arial" w:cs="Arial" w:eastAsia="Arial" w:hAnsi="Arial"/>
          <w:sz w:val="20"/>
          <w:szCs w:val="20"/>
        </w:rPr>
        <w:t xml:space="preserve">3) повышение цен на товар, по которому положение хозяйствующего субъекта признано доминирующим, путем снижения физических характеристик (например, вес единицы товара);</w:t>
      </w:r>
    </w:p>
    <w:p>
      <w:pPr>
        <w:spacing w:after="60"/>
        <w:ind w:firstLine="567"/>
        <w:jc w:val="both"/>
      </w:pPr>
      <w:r>
        <w:rPr>
          <w:rFonts w:ascii="Arial" w:cs="Arial" w:eastAsia="Arial" w:hAnsi="Arial"/>
          <w:sz w:val="20"/>
          <w:szCs w:val="20"/>
        </w:rPr>
        <w:t xml:space="preserve">4) необоснованное сокращение объемов производства и (или) поставки или прекращение производства и (или) поставки товаров, на которые имеются спрос или заказы потребителей, при наличии возможности производства или поставки.</w:t>
      </w:r>
    </w:p>
    <w:p>
      <w:pPr>
        <w:spacing w:after="60"/>
        <w:ind w:firstLine="567"/>
        <w:jc w:val="both"/>
      </w:pPr>
      <w:r>
        <w:rPr>
          <w:rFonts w:ascii="Arial" w:cs="Arial" w:eastAsia="Arial" w:hAnsi="Arial"/>
          <w:sz w:val="20"/>
          <w:szCs w:val="20"/>
        </w:rPr>
        <w:t xml:space="preserve">7. Антимонопольный орган с целью выявления признаков монопольно низкой цены товара, установленной хозяйствующим субъектом, занимающим доминирующее положение, проводит анализ динамики цен и объемов производства (реализации) товара, в том числе:</w:t>
      </w:r>
    </w:p>
    <w:p>
      <w:pPr>
        <w:spacing w:after="60"/>
        <w:ind w:firstLine="567"/>
        <w:jc w:val="both"/>
      </w:pPr>
      <w:r>
        <w:rPr>
          <w:rFonts w:ascii="Arial" w:cs="Arial" w:eastAsia="Arial" w:hAnsi="Arial"/>
          <w:sz w:val="20"/>
          <w:szCs w:val="20"/>
        </w:rPr>
        <w:t xml:space="preserve">1) установление хозяйствующим субъектом цены на товар, по которому положение хозяйствующего субъекта признано доминирующим, ниже цены на такой же товар других хозяйствующих субъектов на соответствующем или сопоставимом товарном рынке;</w:t>
      </w:r>
    </w:p>
    <w:p>
      <w:pPr>
        <w:spacing w:after="60"/>
        <w:ind w:firstLine="567"/>
        <w:jc w:val="both"/>
      </w:pPr>
      <w:r>
        <w:rPr>
          <w:rFonts w:ascii="Arial" w:cs="Arial" w:eastAsia="Arial" w:hAnsi="Arial"/>
          <w:sz w:val="20"/>
          <w:szCs w:val="20"/>
        </w:rPr>
        <w:t xml:space="preserve">2) превышение темпов снижения цен на товар, по которому положение хозяйствующего субъекта признано доминирующим, по сравнению с соответствующими темпами снижения цен на соответствующем или сопоставимом товарном рынке.</w:t>
      </w:r>
    </w:p>
    <w:p>
      <w:pPr>
        <w:spacing w:after="60"/>
        <w:ind w:firstLine="567"/>
        <w:jc w:val="both"/>
      </w:pPr>
      <w:r>
        <w:rPr>
          <w:rFonts w:ascii="Arial" w:cs="Arial" w:eastAsia="Arial" w:hAnsi="Arial"/>
          <w:sz w:val="20"/>
          <w:szCs w:val="20"/>
        </w:rPr>
        <w:t xml:space="preserve">8. Если по результатам анализа, проведенного в соответствии с пунктами 6 и 7 настоящего Порядка, установлены данные, указывающие на наличие в действиях хозяйствующего субъекта признаков нарушений, предусмотренных статьями </w:t>
      </w:r>
      <w:r>
        <w:rPr>
          <w:rFonts w:ascii="Arial" w:cs="Arial" w:eastAsia="Arial" w:hAnsi="Arial"/>
          <w:sz w:val="20"/>
          <w:szCs w:val="20"/>
        </w:rPr>
        <w:t xml:space="preserve">4-1</w:t>
      </w:r>
      <w:r>
        <w:rPr>
          <w:rFonts w:ascii="Arial" w:cs="Arial" w:eastAsia="Arial" w:hAnsi="Arial"/>
          <w:sz w:val="20"/>
          <w:szCs w:val="20"/>
        </w:rPr>
        <w:t xml:space="preserve"> и </w:t>
      </w:r>
      <w:r>
        <w:rPr>
          <w:rFonts w:ascii="Arial" w:cs="Arial" w:eastAsia="Arial" w:hAnsi="Arial"/>
          <w:sz w:val="20"/>
          <w:szCs w:val="20"/>
        </w:rPr>
        <w:t xml:space="preserve">4-2</w:t>
      </w:r>
      <w:r>
        <w:rPr>
          <w:rFonts w:ascii="Arial" w:cs="Arial" w:eastAsia="Arial" w:hAnsi="Arial"/>
          <w:sz w:val="20"/>
          <w:szCs w:val="20"/>
        </w:rPr>
        <w:t xml:space="preserve"> Закона Кыргызской Республики "О конкуренции", выразившихся в установлении хозяйствующим субъектом, занимающим доминирующее положение, монопольно высокой (низкой) цены на товар, антимонопольный орган принимает решение о проведении расследования.</w:t>
      </w:r>
    </w:p>
    <w:p>
      <w:pPr>
        <w:spacing w:after="60"/>
        <w:ind w:firstLine="567"/>
        <w:jc w:val="both"/>
      </w:pPr>
      <w:r>
        <w:rPr>
          <w:rFonts w:ascii="Arial" w:cs="Arial" w:eastAsia="Arial" w:hAnsi="Arial"/>
          <w:sz w:val="20"/>
          <w:szCs w:val="20"/>
        </w:rPr>
        <w:t xml:space="preserve">При проведении расследования устанавливается наличие фактов, подтверждающих действия хозяйствующего субъекта по установлению монопольно высокой (низкой) цены.</w:t>
      </w:r>
    </w:p>
    <w:p>
      <w:pPr>
        <w:spacing w:after="60"/>
        <w:ind w:firstLine="567"/>
        <w:jc w:val="both"/>
      </w:pPr>
      <w:r>
        <w:rPr>
          <w:rFonts w:ascii="Arial" w:cs="Arial" w:eastAsia="Arial" w:hAnsi="Arial"/>
          <w:sz w:val="20"/>
          <w:szCs w:val="20"/>
        </w:rPr>
        <w:t xml:space="preserve">9. Для выявления монопольно высокой цены антимонопольный орган определяет конкурентную цену товара на соответствующем товарном рынке.</w:t>
      </w:r>
    </w:p>
    <w:p>
      <w:pPr>
        <w:spacing w:after="60"/>
        <w:ind w:firstLine="567"/>
        <w:jc w:val="both"/>
      </w:pPr>
      <w:r>
        <w:rPr>
          <w:rFonts w:ascii="Arial" w:cs="Arial" w:eastAsia="Arial" w:hAnsi="Arial"/>
          <w:sz w:val="20"/>
          <w:szCs w:val="20"/>
        </w:rPr>
        <w:t xml:space="preserve">При выявлении конкурентной цены учитываются качественные характеристики (параметры) товара.</w:t>
      </w:r>
    </w:p>
    <w:p>
      <w:pPr>
        <w:spacing w:after="60"/>
        <w:ind w:firstLine="567"/>
        <w:jc w:val="both"/>
      </w:pPr>
      <w:r>
        <w:rPr>
          <w:rFonts w:ascii="Arial" w:cs="Arial" w:eastAsia="Arial" w:hAnsi="Arial"/>
          <w:sz w:val="20"/>
          <w:szCs w:val="20"/>
        </w:rPr>
        <w:t xml:space="preserve">В случае если невозможно установить конкурентную цену на данном товарном рынке, сравнение производится с ценой товара, сложившейся в условиях конкуренции, на сопоставимом товарном рынке, в том числе за пределами Кыргызской Республики, если такие имеются.</w:t>
      </w:r>
    </w:p>
    <w:p>
      <w:pPr>
        <w:spacing w:after="60"/>
        <w:ind w:firstLine="567"/>
        <w:jc w:val="both"/>
      </w:pPr>
      <w:r>
        <w:rPr>
          <w:rFonts w:ascii="Arial" w:cs="Arial" w:eastAsia="Arial" w:hAnsi="Arial"/>
          <w:sz w:val="20"/>
          <w:szCs w:val="20"/>
        </w:rPr>
        <w:t xml:space="preserve">Если цена, установленная хозяйствующим субъектом, превышает конкурентную цену или невозможно выявить конкурентную цену, сложившуюся в условиях конкуренции на сопоставимом товарном рынке, либо сопоставимый товарный рынок, в том числе за пределами Кыргызской Республики, отсутствует, антимонопольный орган с целью оценки необходимых для производства и реализации такого товара расходов и прибыли на основании которых определяется обоснованная цена, проводит анализ расходов и прибыли хозяйствующего субъекта в соответствии с пунктами 11-15 настоящего Порядка.</w:t>
      </w:r>
    </w:p>
    <w:p>
      <w:pPr>
        <w:spacing w:after="60"/>
        <w:ind w:firstLine="567"/>
        <w:jc w:val="both"/>
      </w:pPr>
      <w:r>
        <w:rPr>
          <w:rFonts w:ascii="Arial" w:cs="Arial" w:eastAsia="Arial" w:hAnsi="Arial"/>
          <w:sz w:val="20"/>
          <w:szCs w:val="20"/>
        </w:rPr>
        <w:t xml:space="preserve">10. Для выявления монопольно низкой цены антимонопольный орган анализирует уровень цен на товар, которые на соответствующем товарном рынке устанавливают хозяйствующие субъекты рынка, не входящие с хозяйствующим субъектом в одну группу лиц. При анализе цен учитываются качественные параметры товара.</w:t>
      </w:r>
    </w:p>
    <w:p>
      <w:pPr>
        <w:spacing w:after="60"/>
        <w:ind w:firstLine="567"/>
        <w:jc w:val="both"/>
      </w:pPr>
      <w:r>
        <w:rPr>
          <w:rFonts w:ascii="Arial" w:cs="Arial" w:eastAsia="Arial" w:hAnsi="Arial"/>
          <w:sz w:val="20"/>
          <w:szCs w:val="20"/>
        </w:rPr>
        <w:t xml:space="preserve">В случае если цена, установленная хозяйствующим субъектом, выше цен, которые на этом же товарном рынке устанавливают хозяйствующие субъекты рынка, не входящие с хозяйствующим субъектом в одну группу лиц, то цена хозяйствующего субъекта не является монопольно низкой.</w:t>
      </w:r>
    </w:p>
    <w:p>
      <w:pPr>
        <w:spacing w:after="60"/>
        <w:ind w:firstLine="567"/>
        <w:jc w:val="both"/>
      </w:pPr>
      <w:r>
        <w:rPr>
          <w:rFonts w:ascii="Arial" w:cs="Arial" w:eastAsia="Arial" w:hAnsi="Arial"/>
          <w:sz w:val="20"/>
          <w:szCs w:val="20"/>
        </w:rPr>
        <w:t xml:space="preserve">В случае если цена, установленная хозяйствующим субъектом, ниже цен, которые на этом товарном рынке устанавливают хозяйствующие субъекты рынка, не входящие с хозяйствующим субъектом в одну группу лиц, антимонопольный орган проводит анализ фактических расходов хозяйствующего субъекта на производство и реализацию такого товара и выясняет обстоятельства установления хозяйствующим субъектом низкой цены на товар, по которому положение хозяйствующего субъекта признано доминирующим.</w:t>
      </w:r>
    </w:p>
    <w:p>
      <w:pPr>
        <w:spacing w:after="60"/>
        <w:ind w:firstLine="567"/>
        <w:jc w:val="both"/>
      </w:pPr>
      <w:r>
        <w:rPr>
          <w:rFonts w:ascii="Arial" w:cs="Arial" w:eastAsia="Arial" w:hAnsi="Arial"/>
          <w:sz w:val="20"/>
          <w:szCs w:val="20"/>
        </w:rPr>
        <w:t xml:space="preserve">11. Для уточнения расходов и прибыли при определении монопольно высокой цены антимонопольным органом проводится анализ:</w:t>
      </w:r>
    </w:p>
    <w:p>
      <w:pPr>
        <w:spacing w:after="60"/>
        <w:ind w:firstLine="567"/>
        <w:jc w:val="both"/>
      </w:pPr>
      <w:r>
        <w:rPr>
          <w:rFonts w:ascii="Arial" w:cs="Arial" w:eastAsia="Arial" w:hAnsi="Arial"/>
          <w:sz w:val="20"/>
          <w:szCs w:val="20"/>
        </w:rPr>
        <w:t xml:space="preserve">1) финансово-хозяйственной деятельности хозяйствующего субъекта;</w:t>
      </w:r>
    </w:p>
    <w:p>
      <w:pPr>
        <w:spacing w:after="60"/>
        <w:ind w:firstLine="567"/>
        <w:jc w:val="both"/>
      </w:pPr>
      <w:r>
        <w:rPr>
          <w:rFonts w:ascii="Arial" w:cs="Arial" w:eastAsia="Arial" w:hAnsi="Arial"/>
          <w:sz w:val="20"/>
          <w:szCs w:val="20"/>
        </w:rPr>
        <w:t xml:space="preserve">2) динамики производственной и полной себестоимости товара, а также динамики цен на товар (в том числе сопоставление темпов роста (снижения) производственной и полной себестоимости с темпами роста (снижения) цены на товар);</w:t>
      </w:r>
    </w:p>
    <w:p>
      <w:pPr>
        <w:spacing w:after="60"/>
        <w:ind w:firstLine="567"/>
        <w:jc w:val="both"/>
      </w:pPr>
      <w:r>
        <w:rPr>
          <w:rFonts w:ascii="Arial" w:cs="Arial" w:eastAsia="Arial" w:hAnsi="Arial"/>
          <w:sz w:val="20"/>
          <w:szCs w:val="20"/>
        </w:rPr>
        <w:t xml:space="preserve">3) динамики объемов производства (реализации) товара, с учетом производственных мощностей;</w:t>
      </w:r>
    </w:p>
    <w:p>
      <w:pPr>
        <w:spacing w:after="60"/>
        <w:ind w:firstLine="567"/>
        <w:jc w:val="both"/>
      </w:pPr>
      <w:r>
        <w:rPr>
          <w:rFonts w:ascii="Arial" w:cs="Arial" w:eastAsia="Arial" w:hAnsi="Arial"/>
          <w:sz w:val="20"/>
          <w:szCs w:val="20"/>
        </w:rPr>
        <w:t xml:space="preserve">4) договоров, в результате которых прямо либо косвенно складывается цена на товар;</w:t>
      </w:r>
    </w:p>
    <w:p>
      <w:pPr>
        <w:spacing w:after="60"/>
        <w:ind w:firstLine="567"/>
        <w:jc w:val="both"/>
      </w:pPr>
      <w:r>
        <w:rPr>
          <w:rFonts w:ascii="Arial" w:cs="Arial" w:eastAsia="Arial" w:hAnsi="Arial"/>
          <w:sz w:val="20"/>
          <w:szCs w:val="20"/>
        </w:rPr>
        <w:t xml:space="preserve">5) динамики разных видов цен (к примеру, средневзвешенных, для разных групп покупателей);</w:t>
      </w:r>
    </w:p>
    <w:p>
      <w:pPr>
        <w:spacing w:after="60"/>
        <w:ind w:firstLine="567"/>
        <w:jc w:val="both"/>
      </w:pPr>
      <w:r>
        <w:rPr>
          <w:rFonts w:ascii="Arial" w:cs="Arial" w:eastAsia="Arial" w:hAnsi="Arial"/>
          <w:sz w:val="20"/>
          <w:szCs w:val="20"/>
        </w:rPr>
        <w:t xml:space="preserve">6) расходов периода и производственной себестоимости, в том числе сопоставление темпов роста (снижения) заработной платы административного персонала с темпами роста (снижения) заработной платы производственного персонала;</w:t>
      </w:r>
    </w:p>
    <w:p>
      <w:pPr>
        <w:spacing w:after="60"/>
        <w:ind w:firstLine="567"/>
        <w:jc w:val="both"/>
      </w:pPr>
      <w:r>
        <w:rPr>
          <w:rFonts w:ascii="Arial" w:cs="Arial" w:eastAsia="Arial" w:hAnsi="Arial"/>
          <w:sz w:val="20"/>
          <w:szCs w:val="20"/>
        </w:rPr>
        <w:t xml:space="preserve">7) прибыли, полученной субъектом от товара, по которому положение субъекта признано доминирующим;</w:t>
      </w:r>
    </w:p>
    <w:p>
      <w:pPr>
        <w:spacing w:after="60"/>
        <w:ind w:firstLine="567"/>
        <w:jc w:val="both"/>
      </w:pPr>
      <w:r>
        <w:rPr>
          <w:rFonts w:ascii="Arial" w:cs="Arial" w:eastAsia="Arial" w:hAnsi="Arial"/>
          <w:sz w:val="20"/>
          <w:szCs w:val="20"/>
        </w:rPr>
        <w:t xml:space="preserve">8) инвестиционной программы субъекта;</w:t>
      </w:r>
    </w:p>
    <w:p>
      <w:pPr>
        <w:spacing w:after="60"/>
        <w:ind w:firstLine="567"/>
        <w:jc w:val="both"/>
      </w:pPr>
      <w:r>
        <w:rPr>
          <w:rFonts w:ascii="Arial" w:cs="Arial" w:eastAsia="Arial" w:hAnsi="Arial"/>
          <w:sz w:val="20"/>
          <w:szCs w:val="20"/>
        </w:rPr>
        <w:t xml:space="preserve">9) обязательств перед кредиторами и финансовыми организациями.</w:t>
      </w:r>
    </w:p>
    <w:p>
      <w:pPr>
        <w:spacing w:after="60"/>
        <w:ind w:firstLine="567"/>
        <w:jc w:val="both"/>
      </w:pPr>
      <w:r>
        <w:rPr>
          <w:rFonts w:ascii="Arial" w:cs="Arial" w:eastAsia="Arial" w:hAnsi="Arial"/>
          <w:sz w:val="20"/>
          <w:szCs w:val="20"/>
        </w:rPr>
        <w:t xml:space="preserve">Для уточнения расходов и прибыли при определении монопольно низкой цены антимонопольным органом проводится анализ подпунктов 1-6 настоящего пункта.</w:t>
      </w:r>
    </w:p>
    <w:p>
      <w:pPr>
        <w:spacing w:after="60"/>
        <w:ind w:firstLine="567"/>
        <w:jc w:val="both"/>
      </w:pPr>
      <w:r>
        <w:rPr>
          <w:rFonts w:ascii="Arial" w:cs="Arial" w:eastAsia="Arial" w:hAnsi="Arial"/>
          <w:sz w:val="20"/>
          <w:szCs w:val="20"/>
        </w:rPr>
        <w:t xml:space="preserve">12. Необходимые расходы и прибыль, связанные с производством (реализацией) товара при определении монопольно высокой цены, анализируются с учетом:</w:t>
      </w:r>
    </w:p>
    <w:p>
      <w:pPr>
        <w:spacing w:after="60"/>
        <w:ind w:firstLine="567"/>
        <w:jc w:val="both"/>
      </w:pPr>
      <w:r>
        <w:rPr>
          <w:rFonts w:ascii="Arial" w:cs="Arial" w:eastAsia="Arial" w:hAnsi="Arial"/>
          <w:sz w:val="20"/>
          <w:szCs w:val="20"/>
        </w:rPr>
        <w:t xml:space="preserve">1) материальных расходов, входящих в себестоимость, которые определяются исходя из цен, предусмотренных в подтверждающих документах (договоры, счета-фактуры), и физического объема материальных ресурсов, исходя из применяемых норм расхода сырья, материалов, топлива, энергии материальных ресурсов на выпуск единицы товара и их годовых норм;</w:t>
      </w:r>
    </w:p>
    <w:p>
      <w:pPr>
        <w:spacing w:after="60"/>
        <w:ind w:firstLine="567"/>
        <w:jc w:val="both"/>
      </w:pPr>
      <w:r>
        <w:rPr>
          <w:rFonts w:ascii="Arial" w:cs="Arial" w:eastAsia="Arial" w:hAnsi="Arial"/>
          <w:sz w:val="20"/>
          <w:szCs w:val="20"/>
        </w:rPr>
        <w:t xml:space="preserve">2) расходов по оплате труда персонала, включая выплаты доплат и надбавок за условия труда, предусмотренные системой оплаты труда в соответствии с Трудовым </w:t>
      </w:r>
      <w:hyperlink w:history="1" r:id="rIdemnc6gz86lpjn5dsnrbxf">
        <w:r>
          <w:rPr>
            <w:rFonts w:ascii="Arial" w:cs="Arial" w:eastAsia="Arial" w:hAnsi="Arial"/>
            <w:color w:val="1D4ED8"/>
            <w:sz w:val="20"/>
            <w:szCs w:val="20"/>
            <w:u w:val="single"/>
          </w:rPr>
          <w:t xml:space="preserve">кодексом</w:t>
        </w:r>
      </w:hyperlink>
      <w:r>
        <w:rPr>
          <w:rFonts w:ascii="Arial" w:cs="Arial" w:eastAsia="Arial" w:hAnsi="Arial"/>
          <w:sz w:val="20"/>
          <w:szCs w:val="20"/>
        </w:rPr>
        <w:t xml:space="preserve"> Кыргызской Республики;</w:t>
      </w:r>
    </w:p>
    <w:p>
      <w:pPr>
        <w:spacing w:after="60"/>
        <w:ind w:firstLine="567"/>
        <w:jc w:val="both"/>
      </w:pPr>
      <w:r>
        <w:rPr>
          <w:rFonts w:ascii="Arial" w:cs="Arial" w:eastAsia="Arial" w:hAnsi="Arial"/>
          <w:sz w:val="20"/>
          <w:szCs w:val="20"/>
        </w:rPr>
        <w:t xml:space="preserve">3) амортизационных отчислений, определяемых с использованием метода, предусмотренного учетной политикой субъекта;</w:t>
      </w:r>
    </w:p>
    <w:p>
      <w:pPr>
        <w:spacing w:after="60"/>
        <w:ind w:firstLine="567"/>
        <w:jc w:val="both"/>
      </w:pPr>
      <w:r>
        <w:rPr>
          <w:rFonts w:ascii="Arial" w:cs="Arial" w:eastAsia="Arial" w:hAnsi="Arial"/>
          <w:sz w:val="20"/>
          <w:szCs w:val="20"/>
        </w:rPr>
        <w:t xml:space="preserve">4) расходов на выплату вознаграждения за заемные средства;</w:t>
      </w:r>
    </w:p>
    <w:p>
      <w:pPr>
        <w:spacing w:after="60"/>
        <w:ind w:firstLine="567"/>
        <w:jc w:val="both"/>
      </w:pPr>
      <w:r>
        <w:rPr>
          <w:rFonts w:ascii="Arial" w:cs="Arial" w:eastAsia="Arial" w:hAnsi="Arial"/>
          <w:sz w:val="20"/>
          <w:szCs w:val="20"/>
        </w:rPr>
        <w:t xml:space="preserve">5) других расходов, непосредственно относящихся к производству (реализации) товара субъекта;</w:t>
      </w:r>
    </w:p>
    <w:p>
      <w:pPr>
        <w:spacing w:after="60"/>
        <w:ind w:firstLine="567"/>
        <w:jc w:val="both"/>
      </w:pPr>
      <w:r>
        <w:rPr>
          <w:rFonts w:ascii="Arial" w:cs="Arial" w:eastAsia="Arial" w:hAnsi="Arial"/>
          <w:sz w:val="20"/>
          <w:szCs w:val="20"/>
        </w:rPr>
        <w:t xml:space="preserve">6) необходимого уровня прибыли, обеспечивающего эффективное функционирование и развитие предприятия, в том числе по показателям деятельности предприятия, сложившимся в условиях конкуренции, которые обеспечивают функциональность данного предприятия, или по показателям хозяйствующих субъектов рынка.</w:t>
      </w:r>
    </w:p>
    <w:p>
      <w:pPr>
        <w:spacing w:after="60"/>
        <w:ind w:firstLine="567"/>
        <w:jc w:val="both"/>
      </w:pPr>
      <w:r>
        <w:rPr>
          <w:rFonts w:ascii="Arial" w:cs="Arial" w:eastAsia="Arial" w:hAnsi="Arial"/>
          <w:sz w:val="20"/>
          <w:szCs w:val="20"/>
        </w:rPr>
        <w:t xml:space="preserve">При оценке необходимых затрат и прибыли хозяйствующего субъекта на единицу товара в случае необходимости применяется метод сравнительного анализа аналогичных затрат и прибыли других хозяйствующих субъектов рынка на соответствующем или сопоставимом товарном рынке.</w:t>
      </w:r>
    </w:p>
    <w:p>
      <w:pPr>
        <w:spacing w:after="60"/>
        <w:ind w:firstLine="567"/>
        <w:jc w:val="both"/>
      </w:pPr>
      <w:r>
        <w:rPr>
          <w:rFonts w:ascii="Arial" w:cs="Arial" w:eastAsia="Arial" w:hAnsi="Arial"/>
          <w:sz w:val="20"/>
          <w:szCs w:val="20"/>
        </w:rPr>
        <w:t xml:space="preserve">При определении монопольно низкой цены анализируются фактические расходы, связанные с производством (реализацией) товара, с учетом подпунктов 1-5 настоящего пункта.</w:t>
      </w:r>
    </w:p>
    <w:p>
      <w:pPr>
        <w:spacing w:after="60"/>
        <w:ind w:firstLine="567"/>
        <w:jc w:val="both"/>
      </w:pPr>
      <w:r>
        <w:rPr>
          <w:rFonts w:ascii="Arial" w:cs="Arial" w:eastAsia="Arial" w:hAnsi="Arial"/>
          <w:sz w:val="20"/>
          <w:szCs w:val="20"/>
        </w:rPr>
        <w:t xml:space="preserve">13. Прибыль определяется как разница между выручкой от производства (реализации) товара и обоснованными расходами, необходимыми для производства и реализации товара, и фактически уплаченными налогами.</w:t>
      </w:r>
    </w:p>
    <w:p>
      <w:pPr>
        <w:spacing w:after="60"/>
        <w:ind w:firstLine="567"/>
        <w:jc w:val="both"/>
      </w:pPr>
      <w:r>
        <w:rPr>
          <w:rFonts w:ascii="Arial" w:cs="Arial" w:eastAsia="Arial" w:hAnsi="Arial"/>
          <w:sz w:val="20"/>
          <w:szCs w:val="20"/>
        </w:rPr>
        <w:t xml:space="preserve">Необходимый уровень прибыли, требуемый для развития хозяйствующего субъекта, отражает особенности производимого (реализуемого) товара, специфику товарного рынка и условия функционирования хозяйствующего субъекта, а также учитывает:</w:t>
      </w:r>
    </w:p>
    <w:p>
      <w:pPr>
        <w:spacing w:after="60"/>
        <w:ind w:firstLine="567"/>
        <w:jc w:val="both"/>
      </w:pPr>
      <w:r>
        <w:rPr>
          <w:rFonts w:ascii="Arial" w:cs="Arial" w:eastAsia="Arial" w:hAnsi="Arial"/>
          <w:sz w:val="20"/>
          <w:szCs w:val="20"/>
        </w:rPr>
        <w:t xml:space="preserve">- инвестиции в создание новых активов, расширение, обновление, реконструкцию и техническое перевооружение существующих активов;</w:t>
      </w:r>
    </w:p>
    <w:p>
      <w:pPr>
        <w:spacing w:after="60"/>
        <w:ind w:firstLine="567"/>
        <w:jc w:val="both"/>
      </w:pPr>
      <w:r>
        <w:rPr>
          <w:rFonts w:ascii="Arial" w:cs="Arial" w:eastAsia="Arial" w:hAnsi="Arial"/>
          <w:sz w:val="20"/>
          <w:szCs w:val="20"/>
        </w:rPr>
        <w:t xml:space="preserve">- уровень рисков (сезонный характер производства или потребления, высокая зависимость от климатических факторов);</w:t>
      </w:r>
    </w:p>
    <w:p>
      <w:pPr>
        <w:spacing w:after="60"/>
        <w:ind w:firstLine="567"/>
        <w:jc w:val="both"/>
      </w:pPr>
      <w:r>
        <w:rPr>
          <w:rFonts w:ascii="Arial" w:cs="Arial" w:eastAsia="Arial" w:hAnsi="Arial"/>
          <w:sz w:val="20"/>
          <w:szCs w:val="20"/>
        </w:rPr>
        <w:t xml:space="preserve">- обязательства, предусмотренные в коллективных договорах в соответствии с Трудовым </w:t>
      </w:r>
      <w:hyperlink w:history="1" r:id="rIddgqgxeidqyct3kq4otlub">
        <w:r>
          <w:rPr>
            <w:rFonts w:ascii="Arial" w:cs="Arial" w:eastAsia="Arial" w:hAnsi="Arial"/>
            <w:color w:val="1D4ED8"/>
            <w:sz w:val="20"/>
            <w:szCs w:val="20"/>
            <w:u w:val="single"/>
          </w:rPr>
          <w:t xml:space="preserve">кодексом</w:t>
        </w:r>
      </w:hyperlink>
      <w:r>
        <w:rPr>
          <w:rFonts w:ascii="Arial" w:cs="Arial" w:eastAsia="Arial" w:hAnsi="Arial"/>
          <w:sz w:val="20"/>
          <w:szCs w:val="20"/>
        </w:rPr>
        <w:t xml:space="preserve"> Кыргызской Республики;</w:t>
      </w:r>
    </w:p>
    <w:p>
      <w:pPr>
        <w:spacing w:after="60"/>
        <w:ind w:firstLine="567"/>
        <w:jc w:val="both"/>
      </w:pPr>
      <w:r>
        <w:rPr>
          <w:rFonts w:ascii="Arial" w:cs="Arial" w:eastAsia="Arial" w:hAnsi="Arial"/>
          <w:sz w:val="20"/>
          <w:szCs w:val="20"/>
        </w:rPr>
        <w:t xml:space="preserve">- обязательства, предусмотренные в договорах приватизации и концессии, лицензионных соглашениях, инвестиционных договорах и иных соглашениях с государственными органами Кыргызской Республики, в том числе о социальной ответственности;</w:t>
      </w:r>
    </w:p>
    <w:p>
      <w:pPr>
        <w:spacing w:after="60"/>
        <w:ind w:firstLine="567"/>
        <w:jc w:val="both"/>
      </w:pPr>
      <w:r>
        <w:rPr>
          <w:rFonts w:ascii="Arial" w:cs="Arial" w:eastAsia="Arial" w:hAnsi="Arial"/>
          <w:sz w:val="20"/>
          <w:szCs w:val="20"/>
        </w:rPr>
        <w:t xml:space="preserve">- иные выплаты, непосредственно не связанные с товарами (работами и услугами), по которым производится расчет монопольно высокой (низкой) цены.</w:t>
      </w:r>
    </w:p>
    <w:p>
      <w:pPr>
        <w:spacing w:after="60"/>
        <w:ind w:firstLine="567"/>
        <w:jc w:val="both"/>
      </w:pPr>
      <w:r>
        <w:rPr>
          <w:rFonts w:ascii="Arial" w:cs="Arial" w:eastAsia="Arial" w:hAnsi="Arial"/>
          <w:sz w:val="20"/>
          <w:szCs w:val="20"/>
        </w:rPr>
        <w:t xml:space="preserve">14. В случае необходимости, для дополнительного обоснования монопольно высокой цены сопоставляются темпы роста цен, себестоимости (отдельных статей затрат), прибыли и уровня рентабельности товара, по которому положение хозяйствующего субъекта признано доминирующим, с другими хозяйствующими субъектами рынка.</w:t>
      </w:r>
    </w:p>
    <w:p>
      <w:pPr>
        <w:spacing w:after="60"/>
        <w:ind w:firstLine="567"/>
        <w:jc w:val="both"/>
      </w:pPr>
      <w:r>
        <w:rPr>
          <w:rFonts w:ascii="Arial" w:cs="Arial" w:eastAsia="Arial" w:hAnsi="Arial"/>
          <w:sz w:val="20"/>
          <w:szCs w:val="20"/>
        </w:rPr>
        <w:t xml:space="preserve">В случае если темпы роста цен, себестоимости, прибыли и рентабельности товара, по которому положение хозяйствующего субъекта признано доминирующим, значительно превышают темпы роста этих показателей других хозяйствующих субъектов рынка или сложившиеся в условиях конкуренции, это дополнительно подтверждает возможное злоупотребление доминирующим положением в части установления монопольно высоких цен.</w:t>
      </w:r>
    </w:p>
    <w:p>
      <w:pPr>
        <w:spacing w:after="60"/>
        <w:ind w:firstLine="567"/>
        <w:jc w:val="both"/>
      </w:pPr>
      <w:r>
        <w:rPr>
          <w:rFonts w:ascii="Arial" w:cs="Arial" w:eastAsia="Arial" w:hAnsi="Arial"/>
          <w:sz w:val="20"/>
          <w:szCs w:val="20"/>
        </w:rPr>
        <w:t xml:space="preserve">15. В случае отсутствия у хозяйствующего субъекта, занимающего доминирующее положение на рассматриваемом товарном рынке, учета расходов по статьям затрат и прибыли в разрезе анализируемых товаров, антимонопольный орган обоснованной ценой признает максимальную (минимальную) цену, которую на этом же товарном рынке в условиях конкуренции устанавливает хозяйствующий субъект рынка, не входящий в одну группу лиц с хозяйствующим субъектом, занимающим доминирующее положение.</w:t>
      </w:r>
    </w:p>
    <w:p>
      <w:pPr>
        <w:spacing w:after="60"/>
        <w:ind w:firstLine="567"/>
        <w:jc w:val="both"/>
      </w:pPr>
      <w:r>
        <w:rPr>
          <w:rFonts w:ascii="Arial" w:cs="Arial" w:eastAsia="Arial" w:hAnsi="Arial"/>
          <w:sz w:val="20"/>
          <w:szCs w:val="20"/>
        </w:rPr>
        <w:t xml:space="preserve">16. Монопольно высокой ценой товара признается цена, соответствующая указанным в пункте 3 настоящего Порядка условиям и установленная занимающим доминирующее положение хозяйствующим субъектом путем:</w:t>
      </w:r>
    </w:p>
    <w:p>
      <w:pPr>
        <w:spacing w:after="60"/>
        <w:ind w:firstLine="567"/>
        <w:jc w:val="both"/>
      </w:pPr>
      <w:r>
        <w:rPr>
          <w:rFonts w:ascii="Arial" w:cs="Arial" w:eastAsia="Arial" w:hAnsi="Arial"/>
          <w:sz w:val="20"/>
          <w:szCs w:val="20"/>
        </w:rPr>
        <w:t xml:space="preserve">1) повышения ранее установленной цены товара, если при этом выполняются в совокупности следующие условия:</w:t>
      </w:r>
    </w:p>
    <w:p>
      <w:pPr>
        <w:spacing w:after="60"/>
        <w:ind w:firstLine="567"/>
        <w:jc w:val="both"/>
      </w:pPr>
      <w:r>
        <w:rPr>
          <w:rFonts w:ascii="Arial" w:cs="Arial" w:eastAsia="Arial" w:hAnsi="Arial"/>
          <w:sz w:val="20"/>
          <w:szCs w:val="20"/>
        </w:rPr>
        <w:t xml:space="preserve">а) расходы, необходимые для производства и реализации товара, остались неизменными или их изменение не соответствует изменению цены товара;</w:t>
      </w:r>
    </w:p>
    <w:p>
      <w:pPr>
        <w:spacing w:after="60"/>
        <w:ind w:firstLine="567"/>
        <w:jc w:val="both"/>
      </w:pPr>
      <w:r>
        <w:rPr>
          <w:rFonts w:ascii="Arial" w:cs="Arial" w:eastAsia="Arial" w:hAnsi="Arial"/>
          <w:sz w:val="20"/>
          <w:szCs w:val="20"/>
        </w:rPr>
        <w:t xml:space="preserve">б) состав продавцов или покупателей товара остался неизменным либо изменение состава продавцов или покупателей товара является незначительным;</w:t>
      </w:r>
    </w:p>
    <w:p>
      <w:pPr>
        <w:spacing w:after="60"/>
        <w:ind w:firstLine="567"/>
        <w:jc w:val="both"/>
      </w:pPr>
      <w:r>
        <w:rPr>
          <w:rFonts w:ascii="Arial" w:cs="Arial" w:eastAsia="Arial" w:hAnsi="Arial"/>
          <w:sz w:val="20"/>
          <w:szCs w:val="20"/>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остались неизменными или их изменение несоразмерно изменению цены товара;</w:t>
      </w:r>
    </w:p>
    <w:p>
      <w:pPr>
        <w:spacing w:after="60"/>
        <w:ind w:firstLine="567"/>
        <w:jc w:val="both"/>
      </w:pPr>
      <w:r>
        <w:rPr>
          <w:rFonts w:ascii="Arial" w:cs="Arial" w:eastAsia="Arial" w:hAnsi="Arial"/>
          <w:sz w:val="20"/>
          <w:szCs w:val="20"/>
        </w:rPr>
        <w:t xml:space="preserve">2) поддержания или неснижения ранее установленной цены товара, если при этом выполняются в совокупности следующие условия:</w:t>
      </w:r>
    </w:p>
    <w:p>
      <w:pPr>
        <w:spacing w:after="60"/>
        <w:ind w:firstLine="567"/>
        <w:jc w:val="both"/>
      </w:pPr>
      <w:r>
        <w:rPr>
          <w:rFonts w:ascii="Arial" w:cs="Arial" w:eastAsia="Arial" w:hAnsi="Arial"/>
          <w:sz w:val="20"/>
          <w:szCs w:val="20"/>
        </w:rPr>
        <w:t xml:space="preserve">а) расходы, необходимые для производства и реализации товара, существенно снизились;</w:t>
      </w:r>
    </w:p>
    <w:p>
      <w:pPr>
        <w:spacing w:after="60"/>
        <w:ind w:firstLine="567"/>
        <w:jc w:val="both"/>
      </w:pPr>
      <w:r>
        <w:rPr>
          <w:rFonts w:ascii="Arial" w:cs="Arial" w:eastAsia="Arial" w:hAnsi="Arial"/>
          <w:sz w:val="20"/>
          <w:szCs w:val="20"/>
        </w:rPr>
        <w:t xml:space="preserve">б) состав продавцов или покупателей товара обусловливает возможность изменения цены товара в сторону уменьшения;</w:t>
      </w:r>
    </w:p>
    <w:p>
      <w:pPr>
        <w:spacing w:after="60"/>
        <w:ind w:firstLine="567"/>
        <w:jc w:val="both"/>
      </w:pPr>
      <w:r>
        <w:rPr>
          <w:rFonts w:ascii="Arial" w:cs="Arial" w:eastAsia="Arial" w:hAnsi="Arial"/>
          <w:sz w:val="20"/>
          <w:szCs w:val="20"/>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уменьшения.</w:t>
      </w:r>
    </w:p>
    <w:p>
      <w:pPr>
        <w:spacing w:after="60"/>
        <w:ind w:firstLine="567"/>
        <w:jc w:val="both"/>
      </w:pPr>
      <w:r>
        <w:rPr>
          <w:rFonts w:ascii="Arial" w:cs="Arial" w:eastAsia="Arial" w:hAnsi="Arial"/>
          <w:sz w:val="20"/>
          <w:szCs w:val="20"/>
        </w:rPr>
        <w:t xml:space="preserve">17. При анализе причин установления хозяйствующим субъектом низкой цены на производимый (реализуемый) товар учитываются следующие обстоятельства, при которых действия хозяйствующего субъекта не признаются злоупотреблением доминирующим положением, выразившимся в установлении монопольно низкой цены:</w:t>
      </w:r>
    </w:p>
    <w:p>
      <w:pPr>
        <w:spacing w:after="60"/>
        <w:ind w:firstLine="567"/>
        <w:jc w:val="both"/>
      </w:pPr>
      <w:r>
        <w:rPr>
          <w:rFonts w:ascii="Arial" w:cs="Arial" w:eastAsia="Arial" w:hAnsi="Arial"/>
          <w:sz w:val="20"/>
          <w:szCs w:val="20"/>
        </w:rPr>
        <w:t xml:space="preserve">1) реализация скоропортящихся товаров;</w:t>
      </w:r>
    </w:p>
    <w:p>
      <w:pPr>
        <w:spacing w:after="60"/>
        <w:ind w:firstLine="567"/>
        <w:jc w:val="both"/>
      </w:pPr>
      <w:r>
        <w:rPr>
          <w:rFonts w:ascii="Arial" w:cs="Arial" w:eastAsia="Arial" w:hAnsi="Arial"/>
          <w:sz w:val="20"/>
          <w:szCs w:val="20"/>
        </w:rPr>
        <w:t xml:space="preserve">2) отсутствие возможности хранения товара;</w:t>
      </w:r>
    </w:p>
    <w:p>
      <w:pPr>
        <w:spacing w:after="60"/>
        <w:ind w:firstLine="567"/>
        <w:jc w:val="both"/>
      </w:pPr>
      <w:r>
        <w:rPr>
          <w:rFonts w:ascii="Arial" w:cs="Arial" w:eastAsia="Arial" w:hAnsi="Arial"/>
          <w:sz w:val="20"/>
          <w:szCs w:val="20"/>
        </w:rPr>
        <w:t xml:space="preserve">3) сезонность производства (реализации) товара;</w:t>
      </w:r>
    </w:p>
    <w:p>
      <w:pPr>
        <w:spacing w:after="60"/>
        <w:ind w:firstLine="567"/>
        <w:jc w:val="both"/>
      </w:pPr>
      <w:r>
        <w:rPr>
          <w:rFonts w:ascii="Arial" w:cs="Arial" w:eastAsia="Arial" w:hAnsi="Arial"/>
          <w:sz w:val="20"/>
          <w:szCs w:val="20"/>
        </w:rPr>
        <w:t xml:space="preserve">4) уценка товара из-за дефекта или порчи;</w:t>
      </w:r>
    </w:p>
    <w:p>
      <w:pPr>
        <w:spacing w:after="60"/>
        <w:ind w:firstLine="567"/>
        <w:jc w:val="both"/>
      </w:pPr>
      <w:r>
        <w:rPr>
          <w:rFonts w:ascii="Arial" w:cs="Arial" w:eastAsia="Arial" w:hAnsi="Arial"/>
          <w:sz w:val="20"/>
          <w:szCs w:val="20"/>
        </w:rPr>
        <w:t xml:space="preserve">5) проведение рекламных и благотворительных акций, не приводящих к ограничению конкуренции;</w:t>
      </w:r>
    </w:p>
    <w:p>
      <w:pPr>
        <w:spacing w:after="60"/>
        <w:ind w:firstLine="567"/>
        <w:jc w:val="both"/>
      </w:pPr>
      <w:r>
        <w:rPr>
          <w:rFonts w:ascii="Arial" w:cs="Arial" w:eastAsia="Arial" w:hAnsi="Arial"/>
          <w:sz w:val="20"/>
          <w:szCs w:val="20"/>
        </w:rPr>
        <w:t xml:space="preserve">6) проведение распродажи в связи с прекращением производства (реализации) данного товара хозяйствующим субъектом;</w:t>
      </w:r>
    </w:p>
    <w:p>
      <w:pPr>
        <w:spacing w:after="60"/>
        <w:ind w:firstLine="567"/>
        <w:jc w:val="both"/>
      </w:pPr>
      <w:r>
        <w:rPr>
          <w:rFonts w:ascii="Arial" w:cs="Arial" w:eastAsia="Arial" w:hAnsi="Arial"/>
          <w:sz w:val="20"/>
          <w:szCs w:val="20"/>
        </w:rPr>
        <w:t xml:space="preserve">7) общее снижение цен на рынке, вызванное внешними факторами.</w:t>
      </w:r>
    </w:p>
    <w:p>
      <w:pPr>
        <w:spacing w:after="60"/>
        <w:ind w:firstLine="567"/>
        <w:jc w:val="both"/>
      </w:pPr>
      <w:r>
        <w:rPr>
          <w:rFonts w:ascii="Arial" w:cs="Arial" w:eastAsia="Arial" w:hAnsi="Arial"/>
          <w:sz w:val="20"/>
          <w:szCs w:val="20"/>
        </w:rPr>
        <w:t xml:space="preserve">18. Монопольно низкой ценой товара является цена, соответствующая указанным в пункте 4 настоящего Порядка условиям и установленная занимающим доминирующее положение хозяйствующим субъектом путем:</w:t>
      </w:r>
    </w:p>
    <w:p>
      <w:pPr>
        <w:spacing w:after="60"/>
        <w:ind w:firstLine="567"/>
        <w:jc w:val="both"/>
      </w:pPr>
      <w:r>
        <w:rPr>
          <w:rFonts w:ascii="Arial" w:cs="Arial" w:eastAsia="Arial" w:hAnsi="Arial"/>
          <w:sz w:val="20"/>
          <w:szCs w:val="20"/>
        </w:rPr>
        <w:t xml:space="preserve">1) снижения ранее установленной цены товара, если при этом выполняются в совокупности следующие условия:</w:t>
      </w:r>
    </w:p>
    <w:p>
      <w:pPr>
        <w:spacing w:after="60"/>
        <w:ind w:firstLine="567"/>
        <w:jc w:val="both"/>
      </w:pPr>
      <w:r>
        <w:rPr>
          <w:rFonts w:ascii="Arial" w:cs="Arial" w:eastAsia="Arial" w:hAnsi="Arial"/>
          <w:sz w:val="20"/>
          <w:szCs w:val="20"/>
        </w:rPr>
        <w:t xml:space="preserve">а) расходы, необходимые для производства и реализации товара, остались неизменными или их изменение не соответствует изменению цены товара;</w:t>
      </w:r>
    </w:p>
    <w:p>
      <w:pPr>
        <w:spacing w:after="60"/>
        <w:ind w:firstLine="567"/>
        <w:jc w:val="both"/>
      </w:pPr>
      <w:r>
        <w:rPr>
          <w:rFonts w:ascii="Arial" w:cs="Arial" w:eastAsia="Arial" w:hAnsi="Arial"/>
          <w:sz w:val="20"/>
          <w:szCs w:val="20"/>
        </w:rPr>
        <w:t xml:space="preserve">б) состав продавцов или покупателей товара остался неизменным либо изменение состава продавцов или покупателей товара является незначительным;</w:t>
      </w:r>
    </w:p>
    <w:p>
      <w:pPr>
        <w:spacing w:after="60"/>
        <w:ind w:firstLine="567"/>
        <w:jc w:val="both"/>
      </w:pPr>
      <w:r>
        <w:rPr>
          <w:rFonts w:ascii="Arial" w:cs="Arial" w:eastAsia="Arial" w:hAnsi="Arial"/>
          <w:sz w:val="20"/>
          <w:szCs w:val="20"/>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нетарифное регулирование, остались неизменными или их изменение несоразмерно изменению цены товара;</w:t>
      </w:r>
    </w:p>
    <w:p>
      <w:pPr>
        <w:spacing w:after="60"/>
        <w:ind w:firstLine="567"/>
        <w:jc w:val="both"/>
      </w:pPr>
      <w:r>
        <w:rPr>
          <w:rFonts w:ascii="Arial" w:cs="Arial" w:eastAsia="Arial" w:hAnsi="Arial"/>
          <w:sz w:val="20"/>
          <w:szCs w:val="20"/>
        </w:rPr>
        <w:t xml:space="preserve">2) поддержания или неповышения ранее установленной цены товара, если при этом выполняются в совокупности следующие условия:</w:t>
      </w:r>
    </w:p>
    <w:p>
      <w:pPr>
        <w:spacing w:after="60"/>
        <w:ind w:firstLine="567"/>
        <w:jc w:val="both"/>
      </w:pPr>
      <w:r>
        <w:rPr>
          <w:rFonts w:ascii="Arial" w:cs="Arial" w:eastAsia="Arial" w:hAnsi="Arial"/>
          <w:sz w:val="20"/>
          <w:szCs w:val="20"/>
        </w:rPr>
        <w:t xml:space="preserve">а) расходы, необходимые для производства и реализации товара, существенно возросли;</w:t>
      </w:r>
    </w:p>
    <w:p>
      <w:pPr>
        <w:spacing w:after="60"/>
        <w:ind w:firstLine="567"/>
        <w:jc w:val="both"/>
      </w:pPr>
      <w:r>
        <w:rPr>
          <w:rFonts w:ascii="Arial" w:cs="Arial" w:eastAsia="Arial" w:hAnsi="Arial"/>
          <w:sz w:val="20"/>
          <w:szCs w:val="20"/>
        </w:rPr>
        <w:t xml:space="preserve">б) состав продавцов или покупателей товара обусловливает возможность изменения цены товара в сторону увеличения;</w:t>
      </w:r>
    </w:p>
    <w:p>
      <w:pPr>
        <w:spacing w:after="60"/>
        <w:ind w:firstLine="567"/>
        <w:jc w:val="both"/>
      </w:pPr>
      <w:r>
        <w:rPr>
          <w:rFonts w:ascii="Arial" w:cs="Arial" w:eastAsia="Arial" w:hAnsi="Arial"/>
          <w:sz w:val="20"/>
          <w:szCs w:val="20"/>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увеличения.</w:t>
      </w:r>
    </w:p>
    <w:p>
      <w:pPr>
        <w:spacing w:after="60"/>
        <w:ind w:firstLine="567"/>
        <w:jc w:val="both"/>
      </w:pPr>
      <w:r>
        <w:rPr>
          <w:rFonts w:ascii="Arial" w:cs="Arial" w:eastAsia="Arial" w:hAnsi="Arial"/>
          <w:sz w:val="20"/>
          <w:szCs w:val="20"/>
        </w:rPr>
        <w:t xml:space="preserve">19. По результатам рассмотрения материалов анализов по признакам монопольно высокой (низкой) цены должностное лицо антимонопольного органа готовит аналитическое заключение и предложение о дальнейших действиях на каждом из следующих этапов:</w:t>
      </w:r>
    </w:p>
    <w:p>
      <w:pPr>
        <w:spacing w:after="60"/>
        <w:ind w:firstLine="567"/>
        <w:jc w:val="both"/>
      </w:pPr>
      <w:r>
        <w:rPr>
          <w:rFonts w:ascii="Arial" w:cs="Arial" w:eastAsia="Arial" w:hAnsi="Arial"/>
          <w:sz w:val="20"/>
          <w:szCs w:val="20"/>
        </w:rPr>
        <w:t xml:space="preserve">- анализ динамики цен и объемов производства (реализации) товара;</w:t>
      </w:r>
    </w:p>
    <w:p>
      <w:pPr>
        <w:spacing w:after="60"/>
        <w:ind w:firstLine="567"/>
        <w:jc w:val="both"/>
      </w:pPr>
      <w:r>
        <w:rPr>
          <w:rFonts w:ascii="Arial" w:cs="Arial" w:eastAsia="Arial" w:hAnsi="Arial"/>
          <w:sz w:val="20"/>
          <w:szCs w:val="20"/>
        </w:rPr>
        <w:t xml:space="preserve">- выявление конкурентной цены товара на соответствующем товарном рынке;</w:t>
      </w:r>
    </w:p>
    <w:p>
      <w:pPr>
        <w:spacing w:after="60"/>
        <w:ind w:firstLine="567"/>
        <w:jc w:val="both"/>
      </w:pPr>
      <w:r>
        <w:rPr>
          <w:rFonts w:ascii="Arial" w:cs="Arial" w:eastAsia="Arial" w:hAnsi="Arial"/>
          <w:sz w:val="20"/>
          <w:szCs w:val="20"/>
        </w:rPr>
        <w:t xml:space="preserve">- анализ расходов и прибыли и оценка наличия признаков нарушений за счет применения монопольно высокой (низкой) цены.</w:t>
      </w:r>
    </w:p>
    <w:p>
      <w:pPr>
        <w:spacing w:after="60"/>
        <w:ind w:firstLine="567"/>
        <w:jc w:val="both"/>
      </w:pPr>
      <w:r>
        <w:rPr>
          <w:rFonts w:ascii="Arial" w:cs="Arial" w:eastAsia="Arial" w:hAnsi="Arial"/>
          <w:sz w:val="20"/>
          <w:szCs w:val="20"/>
        </w:rPr>
        <w:t xml:space="preserve">20. В случае установления данных, указывающих на наличие в действиях (бездействие) хозяйствующего субъекта рынка признаков нарушений, выразившихся в установлении хозяйствующим субъектом, занимающим доминирующее положение, монопольно высокой (низкой) цены на товар, антимонопольный орган принимает решение о рассмотрения дела в соответствии с </w:t>
      </w:r>
      <w:hyperlink w:history="1" r:id="rIdfcggss-1r9vsamv9dvlxe">
        <w:r>
          <w:rPr>
            <w:rFonts w:ascii="Arial" w:cs="Arial" w:eastAsia="Arial" w:hAnsi="Arial"/>
            <w:color w:val="1D4ED8"/>
            <w:sz w:val="20"/>
            <w:szCs w:val="20"/>
            <w:u w:val="single"/>
          </w:rPr>
          <w:t xml:space="preserve">Правилами</w:t>
        </w:r>
      </w:hyperlink>
      <w:r>
        <w:rPr>
          <w:rFonts w:ascii="Arial" w:cs="Arial" w:eastAsia="Arial" w:hAnsi="Arial"/>
          <w:sz w:val="20"/>
          <w:szCs w:val="20"/>
        </w:rPr>
        <w:t xml:space="preserve"> рассмотрения дел о нарушениях антимонопольного законодательства Кыргызской Республики, утвержденными </w:t>
      </w:r>
      <w:hyperlink w:history="1" r:id="rIdwn8lvmwtgocveo7wbsvnl">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Кыргызской Республики от 2 июня 2012 года № 365.</w:t>
      </w:r>
    </w:p>
    <w:p>
      <w:pPr>
        <w:spacing w:after="60"/>
        <w:ind w:firstLine="567"/>
        <w:jc w:val="both"/>
      </w:pPr>
      <w:r>
        <w:rPr>
          <w:rFonts w:ascii="Arial" w:cs="Arial" w:eastAsia="Arial" w:hAnsi="Arial"/>
          <w:sz w:val="20"/>
          <w:szCs w:val="20"/>
        </w:rPr>
        <w:t xml:space="preserve">При рассмотрении дела устанавливается наличие фактов, подтверждающих действия хозяйствующего субъекта по установлению монопольно высокой (низкой) цены.</w:t>
      </w:r>
    </w:p>
    <w:p>
      <w:pPr>
        <w:spacing w:after="200" w:before="200"/>
        <w:jc w:val="center"/>
      </w:pPr>
      <w:r>
        <w:rPr>
          <w:rFonts w:ascii="Arial" w:cs="Arial" w:eastAsia="Arial" w:hAnsi="Arial"/>
          <w:b/>
          <w:bCs/>
          <w:sz w:val="24"/>
          <w:szCs w:val="24"/>
        </w:rPr>
        <w:t xml:space="preserve">3. Ответственность за установление доминирующими хозяйствующими субъектами монопольно высокой (низкой) цены</w:t>
      </w:r>
    </w:p>
    <w:p>
      <w:pPr>
        <w:spacing w:after="60"/>
        <w:ind w:firstLine="567"/>
        <w:jc w:val="both"/>
      </w:pPr>
      <w:r>
        <w:rPr>
          <w:rFonts w:ascii="Arial" w:cs="Arial" w:eastAsia="Arial" w:hAnsi="Arial"/>
          <w:sz w:val="20"/>
          <w:szCs w:val="20"/>
        </w:rPr>
        <w:t xml:space="preserve">21. В случае установления монопольно высокой (низкой) цены, антимонопольным органом определяется монопольный доход (выручка).</w:t>
      </w:r>
    </w:p>
    <w:p>
      <w:pPr>
        <w:spacing w:after="60"/>
        <w:ind w:firstLine="567"/>
        <w:jc w:val="both"/>
      </w:pPr>
      <w:r>
        <w:rPr>
          <w:rFonts w:ascii="Arial" w:cs="Arial" w:eastAsia="Arial" w:hAnsi="Arial"/>
          <w:sz w:val="20"/>
          <w:szCs w:val="20"/>
        </w:rPr>
        <w:t xml:space="preserve">22. Доход (выручка), полученный хозяйствующим субъектом от применения монопольно высокой (низкой) цены, определяется при:</w:t>
      </w:r>
    </w:p>
    <w:p>
      <w:pPr>
        <w:spacing w:after="60"/>
        <w:ind w:firstLine="567"/>
        <w:jc w:val="both"/>
      </w:pPr>
      <w:r>
        <w:rPr>
          <w:rFonts w:ascii="Arial" w:cs="Arial" w:eastAsia="Arial" w:hAnsi="Arial"/>
          <w:sz w:val="20"/>
          <w:szCs w:val="20"/>
        </w:rPr>
        <w:t xml:space="preserve">1) установлении хозяйствующим субъектом, занимающим доминирующее положение, монопольно высоких цен - как разница между выручкой, полученной при применении монопольно высокой цены, и выручкой, рассчитанной на основании цены, определенной в соответствии с настоящим Порядком;</w:t>
      </w:r>
    </w:p>
    <w:p>
      <w:pPr>
        <w:spacing w:after="60"/>
        <w:ind w:firstLine="567"/>
        <w:jc w:val="both"/>
      </w:pPr>
      <w:r>
        <w:rPr>
          <w:rFonts w:ascii="Arial" w:cs="Arial" w:eastAsia="Arial" w:hAnsi="Arial"/>
          <w:sz w:val="20"/>
          <w:szCs w:val="20"/>
        </w:rPr>
        <w:t xml:space="preserve">2) установлении хозяйствующим субъектом, занимающим доминирующее положение, монопольно низкой цены - как дополнительный доход (выручка), полученный хозяйствующим субъектом, занимающим доминирующее положение, в результате увеличения объемов реализации за счет устранения конкурентов с товарного рынка.</w:t>
      </w:r>
    </w:p>
    <w:p>
      <w:pPr>
        <w:spacing w:after="60"/>
        <w:ind w:firstLine="567"/>
        <w:jc w:val="both"/>
      </w:pPr>
      <w:r>
        <w:rPr>
          <w:rFonts w:ascii="Arial" w:cs="Arial" w:eastAsia="Arial" w:hAnsi="Arial"/>
          <w:sz w:val="20"/>
          <w:szCs w:val="20"/>
        </w:rPr>
        <w:t xml:space="preserve">23. Изъятие дохода (выручки) правонарушителя от реализации товара по монопольно высокой (низкой) цене производится в соответствии с антимонопольным законодательством Кыргызской Республики, а привлечение к ответственности за правонарушения производится в соответствии с </w:t>
      </w:r>
      <w:hyperlink w:history="1" r:id="rIdx5vzvlnx2wqgr0z9-h3ly">
        <w:r>
          <w:rPr>
            <w:rFonts w:ascii="Arial" w:cs="Arial" w:eastAsia="Arial" w:hAnsi="Arial"/>
            <w:color w:val="1D4ED8"/>
            <w:sz w:val="20"/>
            <w:szCs w:val="20"/>
            <w:u w:val="single"/>
          </w:rPr>
          <w:t xml:space="preserve">Кодексом</w:t>
        </w:r>
      </w:hyperlink>
      <w:r>
        <w:rPr>
          <w:rFonts w:ascii="Arial" w:cs="Arial" w:eastAsia="Arial" w:hAnsi="Arial"/>
          <w:sz w:val="20"/>
          <w:szCs w:val="20"/>
        </w:rPr>
        <w:t xml:space="preserve"> Кыргызской Республики о правонарушениях.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x2j6zvoqatmxgm3mrcgy">
      <w:r>
        <w:rPr>
          <w:rFonts w:ascii="Arial" w:cs="Arial" w:eastAsia="Arial" w:hAnsi="Arial"/>
          <w:color w:val="132D3F"/>
          <w:sz w:val="16"/>
          <w:szCs w:val="16"/>
          <w:u w:val="single"/>
        </w:rPr>
        <w:t xml:space="preserve">dalil.kg/document/159609</w:t>
      </w:r>
    </w:hyperlink>
  </w:p>
  <w:p>
    <w:pPr>
      <w:spacing w:after="0" w:before="40"/>
      <w:jc w:val="center"/>
    </w:pPr>
    <w:hyperlink w:history="1" r:id="rId6hlpkpdzjqfuzvluh1n9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djr7h4hwo3m6gzsksgir" Type="http://schemas.openxmlformats.org/officeDocument/2006/relationships/hyperlink" Target="https://dalil.kg/document/203356#st_4_1" TargetMode="External"/><Relationship Id="rIdcob-5egmmpz3zo3olwkov" Type="http://schemas.openxmlformats.org/officeDocument/2006/relationships/hyperlink" Target="https://dalil.kg/document/203356#st_4_2" TargetMode="External"/><Relationship Id="rIdqrb_ekz_a_m8ccg6pfv54" Type="http://schemas.openxmlformats.org/officeDocument/2006/relationships/hyperlink" Target="https://dalil.kg/document/203356" TargetMode="External"/><Relationship Id="rId-ppdzlfeqafbhmgpbuxhh" Type="http://schemas.openxmlformats.org/officeDocument/2006/relationships/hyperlink" Target="https://dalil.kg/document/203389" TargetMode="External"/><Relationship Id="rIdemnc6gz86lpjn5dsnrbxf" Type="http://schemas.openxmlformats.org/officeDocument/2006/relationships/hyperlink" Target="https://dalil.kg/document/1505" TargetMode="External"/><Relationship Id="rIddgqgxeidqyct3kq4otlub" Type="http://schemas.openxmlformats.org/officeDocument/2006/relationships/hyperlink" Target="https://dalil.kg/document/1505" TargetMode="External"/><Relationship Id="rIdfcggss-1r9vsamv9dvlxe" Type="http://schemas.openxmlformats.org/officeDocument/2006/relationships/hyperlink" Target="https://dalil.kg/document/93269#pr" TargetMode="External"/><Relationship Id="rIdwn8lvmwtgocveo7wbsvnl" Type="http://schemas.openxmlformats.org/officeDocument/2006/relationships/hyperlink" Target="https://dalil.kg/document/93269" TargetMode="External"/><Relationship Id="rIdx5vzvlnx2wqgr0z9-h3ly"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x2j6zvoqatmxgm3mrcgy" Type="http://schemas.openxmlformats.org/officeDocument/2006/relationships/hyperlink" Target="https://dalil.kg/document/159609" TargetMode="External"/><Relationship Id="rId6hlpkpdzjqfuzvluh1n9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2026-09-30T02:55:22.032Z</dcterms:created>
  <dcterms:modified xsi:type="dcterms:W3CDTF">2026-09-30T02:55:22.032Z</dcterms:modified>
</cp:coreProperties>
</file>

<file path=docProps/custom.xml><?xml version="1.0" encoding="utf-8"?>
<Properties xmlns="http://schemas.openxmlformats.org/officeDocument/2006/custom-properties" xmlns:vt="http://schemas.openxmlformats.org/officeDocument/2006/docPropsVTypes"/>
</file>