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jjmpbzb3aoophh37a-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16 января 2023 года № 20</w:t>
      </w:r>
    </w:p>
    <w:p>
      <w:pPr>
        <w:spacing w:after="480" w:before="200"/>
        <w:jc w:val="center"/>
      </w:pPr>
      <w:r>
        <w:rPr>
          <w:rFonts w:ascii="Arial" w:cs="Arial" w:eastAsia="Arial" w:hAnsi="Arial"/>
          <w:b/>
          <w:bCs/>
          <w:sz w:val="28"/>
          <w:szCs w:val="28"/>
        </w:rPr>
        <w:t xml:space="preserve">Об утверждении Типового положения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vy2sdh1qwtx68_unj92x">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 </w:t>
      </w:r>
      <w:hyperlink w:history="1" r:id="rId5jmh3bzqywccg4pipn0if">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al6wrptuwv7ja91wvklad">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1. Утвердить:</w:t>
      </w:r>
    </w:p>
    <w:p>
      <w:pPr>
        <w:spacing w:after="60"/>
        <w:jc w:val="both"/>
      </w:pPr>
      <w:r>
        <w:rPr>
          <w:rFonts w:ascii="Arial" w:cs="Arial" w:eastAsia="Arial" w:hAnsi="Arial"/>
          <w:sz w:val="24"/>
          <w:szCs w:val="24"/>
        </w:rPr>
        <w:t xml:space="preserve">- </w:t>
      </w:r>
      <w:hyperlink w:history="1" r:id="rIdmf-ikletfatbtdrkcxfoc">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60"/>
        <w:jc w:val="both"/>
      </w:pPr>
      <w:r>
        <w:rPr>
          <w:rFonts w:ascii="Arial" w:cs="Arial" w:eastAsia="Arial" w:hAnsi="Arial"/>
          <w:sz w:val="24"/>
          <w:szCs w:val="24"/>
        </w:rPr>
        <w:t xml:space="preserve">- заявку на получение финансирования для социальных и инфраструктурных проектов согласно </w:t>
      </w:r>
      <w:hyperlink w:history="1" r:id="rIdzsyr0zdp6psxtfv0-b1ks">
        <w:r>
          <w:rPr>
            <w:rFonts w:ascii="Arial" w:cs="Arial" w:eastAsia="Arial" w:hAnsi="Arial"/>
            <w:color w:val="1D4ED8"/>
            <w:sz w:val="24"/>
            <w:szCs w:val="24"/>
            <w:u w:val="single"/>
          </w:rPr>
          <w:t xml:space="preserve">приложению 2;</w:t>
        </w:r>
      </w:hyperlink>
    </w:p>
    <w:p>
      <w:pPr>
        <w:spacing w:after="60"/>
        <w:jc w:val="both"/>
      </w:pPr>
      <w:r>
        <w:rPr>
          <w:rFonts w:ascii="Arial" w:cs="Arial" w:eastAsia="Arial" w:hAnsi="Arial"/>
          <w:sz w:val="24"/>
          <w:szCs w:val="24"/>
        </w:rPr>
        <w:t xml:space="preserve">- заявку на получение финансирования для экономических проектов согласно </w:t>
      </w:r>
      <w:hyperlink w:history="1" r:id="rIdefpc0fchuch011lliynju">
        <w:r>
          <w:rPr>
            <w:rFonts w:ascii="Arial" w:cs="Arial" w:eastAsia="Arial" w:hAnsi="Arial"/>
            <w:color w:val="1D4ED8"/>
            <w:sz w:val="24"/>
            <w:szCs w:val="24"/>
            <w:u w:val="single"/>
          </w:rPr>
          <w:t xml:space="preserve">приложению 3;</w:t>
        </w:r>
      </w:hyperlink>
    </w:p>
    <w:p>
      <w:pPr>
        <w:spacing w:after="60"/>
        <w:jc w:val="both"/>
      </w:pPr>
      <w:r>
        <w:rPr>
          <w:rFonts w:ascii="Arial" w:cs="Arial" w:eastAsia="Arial" w:hAnsi="Arial"/>
          <w:sz w:val="24"/>
          <w:szCs w:val="24"/>
        </w:rPr>
        <w:t xml:space="preserve">- критерии отбора социальных и инфраструктурных проектов согласно </w:t>
      </w:r>
      <w:hyperlink w:history="1" r:id="rId6l376ntr1wantvsciqncl">
        <w:r>
          <w:rPr>
            <w:rFonts w:ascii="Arial" w:cs="Arial" w:eastAsia="Arial" w:hAnsi="Arial"/>
            <w:color w:val="1D4ED8"/>
            <w:sz w:val="24"/>
            <w:szCs w:val="24"/>
            <w:u w:val="single"/>
          </w:rPr>
          <w:t xml:space="preserve">приложению 4;</w:t>
        </w:r>
      </w:hyperlink>
    </w:p>
    <w:p>
      <w:pPr>
        <w:spacing w:after="60"/>
        <w:jc w:val="both"/>
      </w:pPr>
      <w:r>
        <w:rPr>
          <w:rFonts w:ascii="Arial" w:cs="Arial" w:eastAsia="Arial" w:hAnsi="Arial"/>
          <w:sz w:val="24"/>
          <w:szCs w:val="24"/>
        </w:rPr>
        <w:t xml:space="preserve">- критерии отбора экономических проектов согласно </w:t>
      </w:r>
      <w:hyperlink w:history="1" r:id="rIdq4w3dlexhqu4_rhbb8zp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 Договор о целевом финансировании социальных и инфраструктурных проектов согласно </w:t>
      </w:r>
      <w:hyperlink w:history="1" r:id="rIdbcn8-0nzujvnoyafkvir4">
        <w:r>
          <w:rPr>
            <w:rFonts w:ascii="Arial" w:cs="Arial" w:eastAsia="Arial" w:hAnsi="Arial"/>
            <w:color w:val="1D4ED8"/>
            <w:sz w:val="24"/>
            <w:szCs w:val="24"/>
            <w:u w:val="single"/>
          </w:rPr>
          <w:t xml:space="preserve">приложению 6;</w:t>
        </w:r>
      </w:hyperlink>
    </w:p>
    <w:p>
      <w:pPr>
        <w:spacing w:after="120"/>
        <w:jc w:val="both"/>
      </w:pPr>
      <w:r>
        <w:rPr>
          <w:rFonts w:ascii="Arial" w:cs="Arial" w:eastAsia="Arial" w:hAnsi="Arial"/>
          <w:sz w:val="24"/>
          <w:szCs w:val="24"/>
        </w:rPr>
        <w:t xml:space="preserve">- (утратил силу в соответствии с </w:t>
      </w:r>
      <w:hyperlink w:history="1" r:id="rIdjefzyc3dt9arbgpmr5u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12 октября 2023 года № 545)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Типовую методику</w:t>
      </w:r>
      <w:r>
        <w:rPr>
          <w:rFonts w:ascii="Arial" w:cs="Arial" w:eastAsia="Arial" w:hAnsi="Arial"/>
          <w:sz w:val="24"/>
          <w:szCs w:val="24"/>
        </w:rPr>
        <w:t xml:space="preserve"> по мониторингу и оценке деятельности Фондов развития регионов Кыргызской Республики согласно приложению 8.</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rhh7st7_eleqrskcwvy9">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пунктом 1 настоящего постановления.</w:t>
      </w:r>
    </w:p>
    <w:p>
      <w:pPr>
        <w:spacing w:after="60"/>
        <w:jc w:val="both"/>
      </w:pPr>
      <w:r>
        <w:rPr>
          <w:rFonts w:ascii="Arial" w:cs="Arial" w:eastAsia="Arial" w:hAnsi="Arial"/>
          <w:sz w:val="24"/>
          <w:szCs w:val="24"/>
        </w:rPr>
        <w:t xml:space="preserve">3. Признать утратившими силу:</w:t>
      </w:r>
    </w:p>
    <w:p>
      <w:pPr>
        <w:spacing w:after="60"/>
        <w:jc w:val="both"/>
      </w:pPr>
      <w:r>
        <w:rPr>
          <w:rFonts w:ascii="Arial" w:cs="Arial" w:eastAsia="Arial" w:hAnsi="Arial"/>
          <w:sz w:val="24"/>
          <w:szCs w:val="24"/>
        </w:rPr>
        <w:t xml:space="preserve">- </w:t>
      </w:r>
      <w:hyperlink w:history="1" r:id="rIdaa1exnen9eekoad1cqw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dbb8imobgbcnexcgcq3b3">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14 октября 2021 года № 220;</w:t>
      </w:r>
    </w:p>
    <w:p>
      <w:pPr>
        <w:spacing w:after="60"/>
        <w:jc w:val="both"/>
      </w:pPr>
      <w:r>
        <w:rPr>
          <w:rFonts w:ascii="Arial" w:cs="Arial" w:eastAsia="Arial" w:hAnsi="Arial"/>
          <w:sz w:val="24"/>
          <w:szCs w:val="24"/>
        </w:rPr>
        <w:t xml:space="preserve">- </w:t>
      </w:r>
      <w:hyperlink w:history="1" r:id="rIdmip7dsga0rszycxemyh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утверждении Типового положения о фондах развития регионов" от 14 октября 2021 года № 220" от 12 июля 2022 года № 376.</w:t>
      </w:r>
    </w:p>
    <w:p>
      <w:pPr>
        <w:spacing w:after="6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i/>
          <w:iCs/>
          <w:sz w:val="24"/>
          <w:szCs w:val="24"/>
        </w:rPr>
        <w:t xml:space="preserve">Опубликован в газете "Эркин Тоо" от 24 января 2023 года №5</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ЗАЯВКА
 на получение финансирования на социальные и инфраструктурные проекты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ИНФОРМАЦИЯ О ПРОЕКТЕ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p>
          <w:p>
            <w:pPr>
              <w:jc w:val="left"/>
            </w:pPr>
            <w:r>
              <w:rPr>
                <w:rFonts w:ascii="Arial" w:cs="Arial" w:eastAsia="Arial" w:hAnsi="Arial"/>
                <w:sz w:val="24"/>
                <w:szCs w:val="24"/>
              </w:rPr>
              <w:t xml:space="preserve">- ФИО руководителя исполнительного органа МСУ/государственного органа;</w:t>
            </w:r>
          </w:p>
          <w:p>
            <w:pPr>
              <w:jc w:val="left"/>
            </w:pPr>
            <w:r>
              <w:rPr>
                <w:rFonts w:ascii="Arial" w:cs="Arial" w:eastAsia="Arial" w:hAnsi="Arial"/>
                <w:sz w:val="24"/>
                <w:szCs w:val="24"/>
              </w:rPr>
              <w:t xml:space="preserve">- ФИО руководителя финансового подразделения ОМСУ/государственного органа;</w:t>
            </w:r>
          </w:p>
          <w:p>
            <w:pPr>
              <w:jc w:val="left"/>
            </w:pPr>
            <w:r>
              <w:rPr>
                <w:rFonts w:ascii="Arial" w:cs="Arial" w:eastAsia="Arial" w:hAnsi="Arial"/>
                <w:sz w:val="24"/>
                <w:szCs w:val="24"/>
              </w:rPr>
              <w:t xml:space="preserve">- контактные данные (почтовый адрес, тел., факс, эл. почта)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p>
          <w:p>
            <w:pPr>
              <w:jc w:val="left"/>
            </w:pPr>
            <w:r>
              <w:rPr>
                <w:rFonts w:ascii="Arial" w:cs="Arial" w:eastAsia="Arial" w:hAnsi="Arial"/>
                <w:sz w:val="24"/>
                <w:szCs w:val="24"/>
              </w:rPr>
              <w:t xml:space="preserve">(приводится краткое и точное описание сложившейся ситуации и проблем, на решение которых направлен проект)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p>
            <w:pPr>
              <w:jc w:val="left"/>
            </w:pPr>
            <w:r>
              <w:rPr>
                <w:rFonts w:ascii="Arial" w:cs="Arial" w:eastAsia="Arial" w:hAnsi="Arial"/>
                <w:sz w:val="24"/>
                <w:szCs w:val="24"/>
              </w:rPr>
              <w:t xml:space="preserve">(краткое описание цели проекта, каких результатов необходимо достичь)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p>
          <w:p>
            <w:pPr>
              <w:jc w:val="left"/>
            </w:pPr>
            <w:r>
              <w:rPr>
                <w:rFonts w:ascii="Arial" w:cs="Arial" w:eastAsia="Arial" w:hAnsi="Arial"/>
                <w:sz w:val="24"/>
                <w:szCs w:val="24"/>
              </w:rPr>
              <w:t xml:space="preserve">(краткое описание шагов, необходимых для достижения цели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денежные средства ОМСУ, в тыс. сомов и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неоплачиваемыми собственными материалами,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неоплачиваемыми собственной техникой, транспортом,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в тыс. сомов и % от стоимости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p>
          <w:p>
            <w:pPr>
              <w:jc w:val="left"/>
            </w:pPr>
            <w:r>
              <w:rPr>
                <w:rFonts w:ascii="Arial" w:cs="Arial" w:eastAsia="Arial" w:hAnsi="Arial"/>
                <w:sz w:val="24"/>
                <w:szCs w:val="24"/>
              </w:rPr>
              <w:t xml:space="preserve">в том числе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p>
          <w:p>
            <w:pPr>
              <w:jc w:val="left"/>
            </w:pPr>
            <w:r>
              <w:rPr>
                <w:rFonts w:ascii="Arial" w:cs="Arial" w:eastAsia="Arial" w:hAnsi="Arial"/>
                <w:sz w:val="24"/>
                <w:szCs w:val="24"/>
              </w:rPr>
              <w:t xml:space="preserve">- подготовка проекта и дизайна;</w:t>
            </w:r>
          </w:p>
          <w:p>
            <w:pPr>
              <w:jc w:val="left"/>
            </w:pPr>
            <w:r>
              <w:rPr>
                <w:rFonts w:ascii="Arial" w:cs="Arial" w:eastAsia="Arial" w:hAnsi="Arial"/>
                <w:sz w:val="24"/>
                <w:szCs w:val="24"/>
              </w:rPr>
              <w:t xml:space="preserve">- контроль строительства;</w:t>
            </w:r>
          </w:p>
          <w:p>
            <w:pPr>
              <w:jc w:val="left"/>
            </w:pPr>
            <w:r>
              <w:rPr>
                <w:rFonts w:ascii="Arial" w:cs="Arial" w:eastAsia="Arial" w:hAnsi="Arial"/>
                <w:sz w:val="24"/>
                <w:szCs w:val="24"/>
              </w:rPr>
              <w:t xml:space="preserve">- обучение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(необходимо описать)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прилагается в виде окончательного детального бюджета как Приложение 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из них денежные средства </w:t>
            </w:r>
            <w:r>
              <w:rPr>
                <w:rFonts w:ascii="Arial" w:cs="Arial" w:eastAsia="Arial" w:hAnsi="Arial"/>
                <w:sz w:val="24"/>
                <w:szCs w:val="24"/>
              </w:rPr>
              <w:t xml:space="preserve">______</w:t>
            </w:r>
            <w:r>
              <w:rPr>
                <w:rFonts w:ascii="Arial" w:cs="Arial" w:eastAsia="Arial" w:hAnsi="Arial"/>
                <w:sz w:val="24"/>
                <w:szCs w:val="24"/>
              </w:rPr>
              <w:t xml:space="preserve">%</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p>
            <w:pPr>
              <w:jc w:val="left"/>
            </w:pPr>
            <w:r>
              <w:rPr>
                <w:rFonts w:ascii="Arial" w:cs="Arial" w:eastAsia="Arial" w:hAnsi="Arial"/>
                <w:sz w:val="24"/>
                <w:szCs w:val="24"/>
              </w:rPr>
              <w:t xml:space="preserve">(как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p>
          <w:p>
            <w:pPr>
              <w:jc w:val="left"/>
            </w:pPr>
            <w:r>
              <w:rPr>
                <w:rFonts w:ascii="Arial" w:cs="Arial" w:eastAsia="Arial" w:hAnsi="Arial"/>
                <w:sz w:val="24"/>
                <w:szCs w:val="24"/>
              </w:rPr>
              <w:t xml:space="preserve">(кто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p>
          <w:p>
            <w:pPr>
              <w:jc w:val="left"/>
            </w:pPr>
            <w:r>
              <w:rPr>
                <w:rFonts w:ascii="Arial" w:cs="Arial" w:eastAsia="Arial" w:hAnsi="Arial"/>
                <w:sz w:val="24"/>
                <w:szCs w:val="24"/>
              </w:rPr>
              <w:t xml:space="preserve">(- что будет построено, отремонтировано или закуплено;</w:t>
            </w:r>
          </w:p>
          <w:p>
            <w:pPr>
              <w:jc w:val="left"/>
            </w:pPr>
            <w:r>
              <w:rPr>
                <w:rFonts w:ascii="Arial" w:cs="Arial" w:eastAsia="Arial" w:hAnsi="Arial"/>
                <w:sz w:val="24"/>
                <w:szCs w:val="24"/>
              </w:rPr>
              <w:t xml:space="preserve">- кто и какие группы сообщества получат выгоду от проектов;</w:t>
            </w:r>
          </w:p>
          <w:p>
            <w:pPr>
              <w:jc w:val="left"/>
            </w:pPr>
            <w:r>
              <w:rPr>
                <w:rFonts w:ascii="Arial" w:cs="Arial" w:eastAsia="Arial" w:hAnsi="Arial"/>
                <w:sz w:val="24"/>
                <w:szCs w:val="24"/>
              </w:rPr>
              <w:t xml:space="preserve">- как изменится ситуация в результате функционирования проекта)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 </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p>
          <w:p>
            <w:pPr>
              <w:jc w:val="left"/>
            </w:pP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p>
          <w:p>
            <w:pPr>
              <w:jc w:val="left"/>
            </w:pP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p>
          <w:p>
            <w:pPr>
              <w:jc w:val="left"/>
            </w:pPr>
            <w:r>
              <w:rPr>
                <w:rFonts w:ascii="Arial" w:cs="Arial" w:eastAsia="Arial" w:hAnsi="Arial"/>
                <w:sz w:val="24"/>
                <w:szCs w:val="24"/>
              </w:rPr>
              <w:t xml:space="preserve">Приложение 2-3. Технические документы (напр., АПЗ, ИПЗ, проект объекта и т.д.).</w:t>
            </w:r>
          </w:p>
          <w:p>
            <w:pPr>
              <w:jc w:val="left"/>
            </w:pPr>
            <w:r>
              <w:rPr>
                <w:rFonts w:ascii="Arial" w:cs="Arial" w:eastAsia="Arial" w:hAnsi="Arial"/>
                <w:sz w:val="24"/>
                <w:szCs w:val="24"/>
              </w:rPr>
              <w:t xml:space="preserve">Приложение 2-3-1. Дефектный акт.</w:t>
            </w:r>
          </w:p>
          <w:p>
            <w:pPr>
              <w:jc w:val="left"/>
            </w:pPr>
            <w:r>
              <w:rPr>
                <w:rFonts w:ascii="Arial" w:cs="Arial" w:eastAsia="Arial" w:hAnsi="Arial"/>
                <w:sz w:val="24"/>
                <w:szCs w:val="24"/>
              </w:rPr>
              <w:t xml:space="preserve">Приложение 2-4. Детальная смета и бюджет проекта.</w:t>
            </w:r>
          </w:p>
          <w:p>
            <w:pPr>
              <w:jc w:val="left"/>
            </w:pPr>
            <w:r>
              <w:rPr>
                <w:rFonts w:ascii="Arial" w:cs="Arial" w:eastAsia="Arial" w:hAnsi="Arial"/>
                <w:sz w:val="24"/>
                <w:szCs w:val="24"/>
              </w:rPr>
              <w:t xml:space="preserve">Приложение 2-5. План реализации проекта.</w:t>
            </w:r>
          </w:p>
          <w:p>
            <w:pPr>
              <w:jc w:val="left"/>
            </w:pPr>
            <w:r>
              <w:rPr>
                <w:rFonts w:ascii="Arial" w:cs="Arial" w:eastAsia="Arial" w:hAnsi="Arial"/>
                <w:sz w:val="24"/>
                <w:szCs w:val="24"/>
              </w:rPr>
              <w:t xml:space="preserve">Приложение 2-6. Устойчивость проекта.</w:t>
            </w:r>
          </w:p>
          <w:p>
            <w:pPr>
              <w:jc w:val="left"/>
            </w:pPr>
            <w:r>
              <w:rPr>
                <w:rFonts w:ascii="Arial" w:cs="Arial" w:eastAsia="Arial" w:hAnsi="Arial"/>
                <w:sz w:val="24"/>
                <w:szCs w:val="24"/>
              </w:rPr>
              <w:t xml:space="preserve">Приложение 2-7. План совместного мониторинга и оценки.</w:t>
            </w:r>
          </w:p>
          <w:p>
            <w:pPr>
              <w:jc w:val="left"/>
            </w:pPr>
            <w:r>
              <w:rPr>
                <w:rFonts w:ascii="Arial" w:cs="Arial" w:eastAsia="Arial" w:hAnsi="Arial"/>
                <w:sz w:val="24"/>
                <w:szCs w:val="24"/>
              </w:rPr>
              <w:t xml:space="preserve">Приложение 2-8. Чек-лист по экологическому анализу.</w:t>
            </w:r>
          </w:p>
          <w:p>
            <w:pPr>
              <w:jc w:val="left"/>
            </w:pPr>
            <w:r>
              <w:rPr>
                <w:rFonts w:ascii="Arial" w:cs="Arial" w:eastAsia="Arial" w:hAnsi="Arial"/>
                <w:sz w:val="24"/>
                <w:szCs w:val="24"/>
              </w:rPr>
              <w:t xml:space="preserve">Приложение 2-9. Письма поддержки, гарантийные письма, фотодокументы (при наличии)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Техническая документация и разрешительные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2581"/>
        <w:gridCol w:w="1109"/>
        <w:gridCol w:w="2435"/>
        <w:gridCol w:w="1390"/>
        <w:gridCol w:w="2321"/>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c>
          <w:tcPr>
            <w:tcW w:type="dxa" w:w="2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Дефектный акт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Чертежи, технический паспорт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Топографическая съемка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Анализы</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АПЗ</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 отвода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Технические условия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Заключение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детальных чертежей (ПСД)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ПСД</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спецификации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Ведомость объемов работ, материальная, оборудование, расчетная часть</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Пояснительная записка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Согласованный ПСД</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(CMP)</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строительного надзора</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Регистрация и разрешение на выполнение СМР</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состав технического проекта входят первые 11 пунктов таблицы (по необходимости).</w:t>
            </w:r>
          </w:p>
          <w:p>
            <w:pPr>
              <w:jc w:val="left"/>
            </w:pPr>
            <w:r>
              <w:rPr>
                <w:rFonts w:ascii="Arial" w:cs="Arial" w:eastAsia="Arial" w:hAnsi="Arial"/>
                <w:sz w:val="24"/>
                <w:szCs w:val="24"/>
              </w:rPr>
              <w:t xml:space="preserve">Исходя из предлагаемых мероприятий, заполните нижеследующую таблицу.</w:t>
            </w:r>
          </w:p>
          <w:p>
            <w:pPr>
              <w:jc w:val="left"/>
            </w:pPr>
            <w:r>
              <w:rPr>
                <w:rFonts w:ascii="Arial" w:cs="Arial" w:eastAsia="Arial" w:hAnsi="Arial"/>
                <w:sz w:val="24"/>
                <w:szCs w:val="24"/>
              </w:rPr>
              <w:t xml:space="preserve">(*) Технические условия оформляются по специфике МП и выдаются ОАО "Электрические станции", службами водоканалов (при подключении к питьевому водопроводу, центральной канализации), ОАО "Кыргызтелеком", газового хозяйства и т.д.</w:t>
            </w:r>
          </w:p>
          <w:p>
            <w:pPr>
              <w:jc w:val="left"/>
            </w:pPr>
            <w:r>
              <w:rPr>
                <w:rFonts w:ascii="Arial" w:cs="Arial" w:eastAsia="Arial" w:hAnsi="Arial"/>
                <w:sz w:val="24"/>
                <w:szCs w:val="24"/>
              </w:rPr>
              <w:t xml:space="preserve">(*) Заключения оформляются на ПСД по специфике МП и выдаются региональными филиалами и областными представительствами госэкспертизы ГААСЖКХ, СЭС, УООС, пожарной и ветеринарно-санитарной службами и т.д.</w:t>
            </w:r>
          </w:p>
          <w:p>
            <w:pPr>
              <w:jc w:val="left"/>
            </w:pPr>
            <w:r>
              <w:rPr>
                <w:rFonts w:ascii="Arial" w:cs="Arial" w:eastAsia="Arial" w:hAnsi="Arial"/>
                <w:sz w:val="24"/>
                <w:szCs w:val="24"/>
              </w:rPr>
              <w:t xml:space="preserve">(*) 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400" w:before="400"/>
        <w:jc w:val="center"/>
      </w:pPr>
      <w:r>
        <w:rPr>
          <w:rFonts w:ascii="Arial" w:cs="Arial" w:eastAsia="Arial" w:hAnsi="Arial"/>
          <w:b/>
          <w:bCs/>
          <w:sz w:val="32"/>
          <w:szCs w:val="32"/>
        </w:rPr>
        <w:t xml:space="preserve">Дефектный акт
 обследования инфраструктурного объекта</w:t>
      </w:r>
    </w:p>
    <w:p>
      <w:pPr>
        <w:spacing w:after="60"/>
        <w:jc w:val="both"/>
      </w:pPr>
      <w:r>
        <w:rPr>
          <w:rFonts w:ascii="Arial" w:cs="Arial" w:eastAsia="Arial" w:hAnsi="Arial"/>
          <w:sz w:val="24"/>
          <w:szCs w:val="24"/>
        </w:rPr>
        <w:t xml:space="preserve">Село ______________________________________________ айылный аймак</w:t>
      </w:r>
    </w:p>
    <w:p>
      <w:pPr>
        <w:spacing w:after="6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Состав комиссии</w:t>
      </w:r>
      <w:r>
        <w:rPr>
          <w:rFonts w:ascii="Arial" w:cs="Arial" w:eastAsia="Arial" w:hAnsi="Arial"/>
          <w:sz w:val="24"/>
          <w:szCs w:val="24"/>
        </w:rPr>
        <w:t xml:space="preserve">: (из представителей АК и АО; членов ИГ; независимые представители общественности, НКО;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3520"/>
        <w:gridCol w:w="2245"/>
        <w:gridCol w:w="3760"/>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944"/>
        <w:gridCol w:w="1722"/>
        <w:gridCol w:w="2444"/>
        <w:gridCol w:w="1178"/>
        <w:gridCol w:w="1878"/>
        <w:gridCol w:w="651"/>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элементы объекта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состояние</w:t>
            </w:r>
          </w:p>
        </w:tc>
        <w:tc>
          <w:tcPr>
            <w:tcW w:type="dxa" w:w="2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необходимых ремонтных работ</w:t>
            </w:r>
          </w:p>
        </w:tc>
        <w:tc>
          <w:tcPr>
            <w:tcW w:type="dxa" w:w="1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Объемы работ</w:t>
            </w:r>
          </w:p>
        </w:tc>
        <w:tc>
          <w:tcPr>
            <w:tcW w:type="dxa" w:w="1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Необходимые материалы</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3520"/>
        <w:gridCol w:w="2245"/>
        <w:gridCol w:w="3760"/>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Детальная смета и бюджет проекта</w:t>
      </w:r>
    </w:p>
    <w:p>
      <w:pPr>
        <w:spacing w:after="120" w:before="200"/>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1409"/>
        <w:gridCol w:w="629"/>
        <w:gridCol w:w="1040"/>
        <w:gridCol w:w="741"/>
        <w:gridCol w:w="1378"/>
        <w:gridCol w:w="1130"/>
        <w:gridCol w:w="1130"/>
        <w:gridCol w:w="1130"/>
        <w:gridCol w:w="1181"/>
      </w:tblGrid>
      <w:tr>
        <w:tc>
          <w:tcPr>
            <w:tcW w:type="dxa" w:w="4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 проекта и виды работ</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1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2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3 блоку работ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работы по проекту (1+2+3)</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867"/>
        <w:gridCol w:w="590"/>
        <w:gridCol w:w="924"/>
        <w:gridCol w:w="678"/>
        <w:gridCol w:w="1246"/>
        <w:gridCol w:w="1095"/>
        <w:gridCol w:w="1095"/>
        <w:gridCol w:w="1095"/>
        <w:gridCol w:w="1181"/>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закупаемых материалов и оборудования</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2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оборудованию (2)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и оборудованию (1+2)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919"/>
        <w:gridCol w:w="560"/>
        <w:gridCol w:w="832"/>
        <w:gridCol w:w="629"/>
        <w:gridCol w:w="1140"/>
        <w:gridCol w:w="1186"/>
        <w:gridCol w:w="1186"/>
        <w:gridCol w:w="1186"/>
        <w:gridCol w:w="1180"/>
      </w:tblGrid>
      <w:tr>
        <w:tc>
          <w:tcPr>
            <w:tcW w:type="dxa" w:w="3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арендуемой техники и автотранспорта, выполняемые работы</w:t>
            </w:r>
          </w:p>
        </w:tc>
        <w:tc>
          <w:tcPr>
            <w:tcW w:type="dxa" w:w="5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1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5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b/>
                <w:bCs/>
                <w:sz w:val="24"/>
                <w:szCs w:val="24"/>
              </w:rPr>
              <w:t xml:space="preserve">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101"/>
        <w:gridCol w:w="985"/>
        <w:gridCol w:w="928"/>
        <w:gridCol w:w="1087"/>
        <w:gridCol w:w="1163"/>
        <w:gridCol w:w="1163"/>
        <w:gridCol w:w="1163"/>
        <w:gridCol w:w="1181"/>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консультационных услуг и виды затрат</w:t>
            </w:r>
          </w:p>
        </w:tc>
        <w:tc>
          <w:tcPr>
            <w:tcW w:type="dxa" w:w="9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времени или условия оплаты</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Дневная ставка или цена</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348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(при случае, если проект готовится самим МПГ)</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(при случае использования в проекте нового незнакомого оборудования или технологии)</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3178"/>
        <w:gridCol w:w="1168"/>
        <w:gridCol w:w="1208"/>
        <w:gridCol w:w="1208"/>
        <w:gridCol w:w="1208"/>
        <w:gridCol w:w="925"/>
        <w:gridCol w:w="925"/>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затрат по микропроекту</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бюджет</w:t>
            </w:r>
          </w:p>
        </w:tc>
        <w:tc>
          <w:tcPr>
            <w:tcW w:type="dxa" w:w="362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Запрашиваемая сумма</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Сообщество</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транш</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транш</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 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 2-1 часть)</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 2-2 часть)</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 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 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итого инвестиционных затрат: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400" w:before="400"/>
        <w:jc w:val="center"/>
      </w:pPr>
      <w:r>
        <w:rPr>
          <w:rFonts w:ascii="Arial" w:cs="Arial" w:eastAsia="Arial" w:hAnsi="Arial"/>
          <w:b/>
          <w:bCs/>
          <w:sz w:val="32"/>
          <w:szCs w:val="32"/>
        </w:rPr>
        <w:t xml:space="preserve">План реализации проекта</w:t>
      </w:r>
    </w:p>
    <w:p>
      <w:pPr>
        <w:spacing w:after="120" w:before="200"/>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063"/>
        <w:gridCol w:w="672"/>
        <w:gridCol w:w="505"/>
        <w:gridCol w:w="505"/>
        <w:gridCol w:w="505"/>
        <w:gridCol w:w="505"/>
        <w:gridCol w:w="505"/>
        <w:gridCol w:w="505"/>
        <w:gridCol w:w="505"/>
        <w:gridCol w:w="505"/>
        <w:gridCol w:w="505"/>
        <w:gridCol w:w="505"/>
        <w:gridCol w:w="505"/>
        <w:gridCol w:w="505"/>
        <w:gridCol w:w="505"/>
        <w:gridCol w:w="505"/>
        <w:gridCol w:w="505"/>
        <w:gridCol w:w="505"/>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808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c>
          <w:tcPr>
            <w:tcW w:type="dxa" w:w="2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709"/>
        <w:gridCol w:w="1708"/>
        <w:gridCol w:w="1429"/>
        <w:gridCol w:w="1635"/>
        <w:gridCol w:w="2290"/>
      </w:tblGrid>
      <w:tr>
        <w:tc>
          <w:tcPr>
            <w:tcW w:type="dxa" w:w="4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отслеживания выполнения работ</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Закупки материалов и оборудования</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32"/>
          <w:szCs w:val="32"/>
        </w:rPr>
        <w:t xml:space="preserve">Устойчивость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АА: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План совместного мониторинга и оценки по проекту</w:t>
      </w:r>
    </w:p>
    <w:p>
      <w:pPr>
        <w:spacing w:after="120"/>
        <w:jc w:val="both"/>
      </w:pPr>
      <w:r>
        <w:rPr>
          <w:rFonts w:ascii="Arial" w:cs="Arial" w:eastAsia="Arial" w:hAnsi="Arial"/>
          <w:sz w:val="24"/>
          <w:szCs w:val="24"/>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2"/>
        <w:gridCol w:w="1488"/>
        <w:gridCol w:w="1771"/>
        <w:gridCol w:w="1751"/>
        <w:gridCol w:w="3172"/>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 проекта</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информации</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мониторинга и оценки</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ответственные лица</w:t>
            </w:r>
          </w:p>
        </w:tc>
        <w:tc>
          <w:tcPr>
            <w:tcW w:type="dxa" w:w="3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 материалы проведения СМиО</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400" w:before="400"/>
        <w:jc w:val="center"/>
      </w:pPr>
      <w:r>
        <w:rPr>
          <w:rFonts w:ascii="Arial" w:cs="Arial" w:eastAsia="Arial" w:hAnsi="Arial"/>
          <w:b/>
          <w:bCs/>
          <w:sz w:val="32"/>
          <w:szCs w:val="32"/>
        </w:rPr>
        <w:t xml:space="preserve">Чек-лист по экологическому анализу</w:t>
      </w:r>
    </w:p>
    <w:p>
      <w:pPr>
        <w:spacing w:after="60"/>
        <w:jc w:val="both"/>
      </w:pPr>
      <w:r>
        <w:rPr>
          <w:rFonts w:ascii="Arial" w:cs="Arial" w:eastAsia="Arial" w:hAnsi="Arial"/>
          <w:sz w:val="24"/>
          <w:szCs w:val="24"/>
        </w:rPr>
        <w:t xml:space="preserve">1. Название проекта: ______________________________________________________</w:t>
      </w:r>
    </w:p>
    <w:p>
      <w:pPr>
        <w:spacing w:after="60"/>
        <w:jc w:val="both"/>
      </w:pPr>
      <w:r>
        <w:rPr>
          <w:rFonts w:ascii="Arial" w:cs="Arial" w:eastAsia="Arial" w:hAnsi="Arial"/>
          <w:sz w:val="24"/>
          <w:szCs w:val="24"/>
        </w:rPr>
        <w:t xml:space="preserve">2. Краткое описание проекта (описание, территория объекта, месторасположение,</w:t>
      </w:r>
    </w:p>
    <w:p>
      <w:pPr>
        <w:spacing w:after="60"/>
        <w:jc w:val="both"/>
      </w:pPr>
      <w:r>
        <w:rPr>
          <w:rFonts w:ascii="Arial" w:cs="Arial" w:eastAsia="Arial" w:hAnsi="Arial"/>
          <w:sz w:val="24"/>
          <w:szCs w:val="24"/>
        </w:rPr>
        <w:t xml:space="preserve">собственность) ___________________________________________________________</w:t>
      </w:r>
    </w:p>
    <w:p>
      <w:pPr>
        <w:spacing w:after="60"/>
        <w:jc w:val="both"/>
      </w:pPr>
      <w:r>
        <w:rPr>
          <w:rFonts w:ascii="Arial" w:cs="Arial" w:eastAsia="Arial" w:hAnsi="Arial"/>
          <w:sz w:val="24"/>
          <w:szCs w:val="24"/>
        </w:rPr>
        <w:t xml:space="preserve">3. Имеется ли воздействие в ходе реализации или эксплуатации проекта на</w:t>
      </w:r>
    </w:p>
    <w:p>
      <w:pPr>
        <w:spacing w:after="120"/>
        <w:jc w:val="both"/>
      </w:pPr>
      <w:r>
        <w:rPr>
          <w:rFonts w:ascii="Arial" w:cs="Arial" w:eastAsia="Arial" w:hAnsi="Arial"/>
          <w:sz w:val="24"/>
          <w:szCs w:val="24"/>
        </w:rPr>
        <w:t xml:space="preserve">нижеприведенные параметры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9"/>
        <w:gridCol w:w="2137"/>
        <w:gridCol w:w="2046"/>
        <w:gridCol w:w="1836"/>
      </w:tblGrid>
      <w:tr>
        <w:tc>
          <w:tcPr>
            <w:tcW w:type="dxa" w:w="4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эксплуатации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1887"/>
        <w:gridCol w:w="4637"/>
      </w:tblGrid>
      <w:tr>
        <w:tc>
          <w:tcPr>
            <w:tcW w:type="dxa" w:w="3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Э, ЭС)</w:t>
            </w:r>
          </w:p>
        </w:tc>
        <w:tc>
          <w:tcPr>
            <w:tcW w:type="dxa" w:w="4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реализацию проекта: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_________________</w:t>
      </w:r>
      <w:r>
        <w:rPr>
          <w:rFonts w:ascii="Arial" w:cs="Arial" w:eastAsia="Arial" w:hAnsi="Arial"/>
          <w:sz w:val="24"/>
          <w:szCs w:val="24"/>
        </w:rPr>
        <w:t xml:space="preserve">_</w:t>
      </w:r>
      <w:r>
        <w:rPr>
          <w:rFonts w:ascii="Arial" w:cs="Arial" w:eastAsia="Arial" w:hAnsi="Arial"/>
          <w:sz w:val="24"/>
          <w:szCs w:val="24"/>
        </w:rPr>
        <w:t xml:space="preserve">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Технический консультант ОМСУ:</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__________________</w:t>
      </w:r>
      <w:r>
        <w:rPr>
          <w:rFonts w:ascii="Arial" w:cs="Arial" w:eastAsia="Arial" w:hAnsi="Arial"/>
          <w:sz w:val="24"/>
          <w:szCs w:val="24"/>
        </w:rPr>
        <w:t xml:space="preserve">_</w:t>
      </w:r>
      <w:r>
        <w:rPr>
          <w:rFonts w:ascii="Arial" w:cs="Arial" w:eastAsia="Arial" w:hAnsi="Arial"/>
          <w:sz w:val="24"/>
          <w:szCs w:val="24"/>
        </w:rPr>
        <w:t xml:space="preserve">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ЗАЯВКА
 на получение финансирования для экономических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852"/>
        <w:gridCol w:w="2237"/>
        <w:gridCol w:w="2237"/>
      </w:tblGrid>
      <w:tr>
        <w:tc>
          <w:tcPr>
            <w:tcW w:type="dxa" w:w="570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предпринимательства (далее - заявитель)</w:t>
            </w:r>
          </w:p>
        </w:tc>
        <w:tc>
          <w:tcPr>
            <w:tcW w:type="dxa" w:w="4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кредита:</w:t>
            </w:r>
          </w:p>
          <w:p>
            <w:pPr>
              <w:jc w:val="left"/>
            </w:pPr>
            <w:r>
              <w:rPr>
                <w:rFonts w:ascii="Arial" w:cs="Arial" w:eastAsia="Arial" w:hAnsi="Arial"/>
                <w:sz w:val="24"/>
                <w:szCs w:val="24"/>
              </w:rPr>
              <w:t xml:space="preserve">на что будет направлен кредит</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w:t>
            </w:r>
          </w:p>
          <w:p>
            <w:pPr>
              <w:jc w:val="left"/>
            </w:pPr>
            <w:r>
              <w:rPr>
                <w:rFonts w:ascii="Arial" w:cs="Arial" w:eastAsia="Arial" w:hAnsi="Arial"/>
                <w:sz w:val="24"/>
                <w:szCs w:val="24"/>
              </w:rPr>
              <w:t xml:space="preserve">в сомах цифрами и прописью</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p>
            <w:pPr>
              <w:jc w:val="left"/>
            </w:pPr>
            <w:r>
              <w:rPr>
                <w:rFonts w:ascii="Arial" w:cs="Arial" w:eastAsia="Arial" w:hAnsi="Arial"/>
                <w:sz w:val="24"/>
                <w:szCs w:val="24"/>
              </w:rPr>
              <w:t xml:space="preserve">в соответствие с Типовым положением</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Срок кредита:</w:t>
            </w:r>
          </w:p>
          <w:p>
            <w:pPr>
              <w:jc w:val="left"/>
            </w:pPr>
            <w:r>
              <w:rPr>
                <w:rFonts w:ascii="Arial" w:cs="Arial" w:eastAsia="Arial" w:hAnsi="Arial"/>
                <w:sz w:val="24"/>
                <w:szCs w:val="24"/>
              </w:rPr>
              <w:t xml:space="preserve">не более срока, предусмотренного в Типовом положении</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Собственное участие в проекте:</w:t>
            </w:r>
          </w:p>
          <w:p>
            <w:pPr>
              <w:jc w:val="left"/>
            </w:pPr>
            <w:r>
              <w:rPr>
                <w:rFonts w:ascii="Arial" w:cs="Arial" w:eastAsia="Arial" w:hAnsi="Arial"/>
                <w:sz w:val="24"/>
                <w:szCs w:val="24"/>
              </w:rPr>
              <w:t xml:space="preserve">при наличии участия, в сомах с указанием доли и/или земли, помещения и др.</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Значимость проекта для развития отрасли, сегмента в регионе и в целом местного экономического развития:</w:t>
            </w:r>
          </w:p>
          <w:p>
            <w:pPr>
              <w:jc w:val="left"/>
            </w:pP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p>
          <w:p>
            <w:pPr>
              <w:jc w:val="left"/>
            </w:pP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p>
          <w:p>
            <w:pPr>
              <w:jc w:val="left"/>
            </w:pPr>
            <w:r>
              <w:rPr>
                <w:rFonts w:ascii="Arial" w:cs="Arial" w:eastAsia="Arial" w:hAnsi="Arial"/>
                <w:sz w:val="24"/>
                <w:szCs w:val="24"/>
              </w:rPr>
              <w:t xml:space="preserve">- создание новых рабочих мест;</w:t>
            </w:r>
          </w:p>
          <w:p>
            <w:pPr>
              <w:jc w:val="left"/>
            </w:pPr>
            <w:r>
              <w:rPr>
                <w:rFonts w:ascii="Arial" w:cs="Arial" w:eastAsia="Arial" w:hAnsi="Arial"/>
                <w:sz w:val="24"/>
                <w:szCs w:val="24"/>
              </w:rPr>
              <w:t xml:space="preserve">- повышение производительности;</w:t>
            </w:r>
          </w:p>
          <w:p>
            <w:pPr>
              <w:jc w:val="left"/>
            </w:pPr>
            <w:r>
              <w:rPr>
                <w:rFonts w:ascii="Arial" w:cs="Arial" w:eastAsia="Arial" w:hAnsi="Arial"/>
                <w:sz w:val="24"/>
                <w:szCs w:val="24"/>
              </w:rPr>
              <w:t xml:space="preserve">- привлечение и внедрение новых технологий;</w:t>
            </w:r>
          </w:p>
          <w:p>
            <w:pPr>
              <w:jc w:val="left"/>
            </w:pPr>
            <w:r>
              <w:rPr>
                <w:rFonts w:ascii="Arial" w:cs="Arial" w:eastAsia="Arial" w:hAnsi="Arial"/>
                <w:sz w:val="24"/>
                <w:szCs w:val="24"/>
              </w:rPr>
              <w:t xml:space="preserve">- прямые выгоды, получаемые местным сообществом;</w:t>
            </w:r>
          </w:p>
          <w:p>
            <w:pPr>
              <w:jc w:val="left"/>
            </w:pPr>
            <w:r>
              <w:rPr>
                <w:rFonts w:ascii="Arial" w:cs="Arial" w:eastAsia="Arial" w:hAnsi="Arial"/>
                <w:sz w:val="24"/>
                <w:szCs w:val="24"/>
              </w:rPr>
              <w:t xml:space="preserve">- прочие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Текущий статус реализации проекта:</w:t>
            </w:r>
          </w:p>
          <w:p>
            <w:pPr>
              <w:jc w:val="left"/>
            </w:pPr>
            <w:r>
              <w:rPr>
                <w:rFonts w:ascii="Arial" w:cs="Arial" w:eastAsia="Arial" w:hAnsi="Arial"/>
                <w:sz w:val="24"/>
                <w:szCs w:val="24"/>
              </w:rPr>
              <w:t xml:space="preserve">на какой стадии реализации проект, причины по которым проект не был реализован ранее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соинвесторов в реализации проекта и их роль:</w:t>
            </w:r>
          </w:p>
          <w:p>
            <w:pPr>
              <w:jc w:val="left"/>
            </w:pPr>
            <w:r>
              <w:rPr>
                <w:rFonts w:ascii="Arial" w:cs="Arial" w:eastAsia="Arial" w:hAnsi="Arial"/>
                <w:sz w:val="24"/>
                <w:szCs w:val="24"/>
              </w:rPr>
              <w:t xml:space="preserve">при наличии партнеров и/или соинвесторов, укажите их данные и их участие/роль в проекте</w:t>
            </w:r>
          </w:p>
        </w:tc>
        <w:tc>
          <w:tcPr>
            <w:tcW w:type="dxa" w:w="4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w:t>
            </w:r>
          </w:p>
          <w:p>
            <w:pPr>
              <w:jc w:val="left"/>
            </w:pPr>
            <w:r>
              <w:rPr>
                <w:rFonts w:ascii="Arial" w:cs="Arial" w:eastAsia="Arial" w:hAnsi="Arial"/>
                <w:sz w:val="24"/>
                <w:szCs w:val="24"/>
              </w:rPr>
              <w:t xml:space="preserve">анкета заявителя;</w:t>
            </w:r>
          </w:p>
          <w:p>
            <w:pPr>
              <w:jc w:val="left"/>
            </w:pPr>
            <w:r>
              <w:rPr>
                <w:rFonts w:ascii="Arial" w:cs="Arial" w:eastAsia="Arial" w:hAnsi="Arial"/>
                <w:sz w:val="24"/>
                <w:szCs w:val="24"/>
              </w:rPr>
              <w:t xml:space="preserve">бизнес-план;</w:t>
            </w:r>
          </w:p>
          <w:p>
            <w:pPr>
              <w:jc w:val="left"/>
            </w:pPr>
            <w:r>
              <w:rPr>
                <w:rFonts w:ascii="Arial" w:cs="Arial" w:eastAsia="Arial" w:hAnsi="Arial"/>
                <w:sz w:val="24"/>
                <w:szCs w:val="24"/>
              </w:rPr>
              <w:t xml:space="preserve">информация о приобретаемых товарах, работ и услугах за счет кредитных средств;</w:t>
            </w:r>
          </w:p>
          <w:p>
            <w:pPr>
              <w:jc w:val="left"/>
            </w:pPr>
            <w:r>
              <w:rPr>
                <w:rFonts w:ascii="Arial" w:cs="Arial" w:eastAsia="Arial" w:hAnsi="Arial"/>
                <w:sz w:val="24"/>
                <w:szCs w:val="24"/>
              </w:rPr>
              <w:t xml:space="preserve">доверенность от заявителя на представителя заявителя (контактное лицо) во взаимоотношениях с Фондом (при необходимости);</w:t>
            </w:r>
          </w:p>
          <w:p>
            <w:pPr>
              <w:jc w:val="left"/>
            </w:pPr>
            <w:r>
              <w:rPr>
                <w:rFonts w:ascii="Arial" w:cs="Arial" w:eastAsia="Arial" w:hAnsi="Arial"/>
                <w:sz w:val="24"/>
                <w:szCs w:val="24"/>
              </w:rPr>
              <w:t xml:space="preserve">USB-флеш-накопитель с электронными версиями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8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
 (ФИО должность)</w:t>
            </w: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
 (подпись, печать)</w:t>
            </w:r>
          </w:p>
        </w:tc>
        <w:tc>
          <w:tcPr>
            <w:tcW w:type="dxa" w:w="2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
 (дата)</w:t>
            </w:r>
          </w:p>
        </w:tc>
      </w:tr>
      <w:tr>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Анкета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заявителе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Полное наименование заявителя</w:t>
            </w:r>
            <w:r>
              <w:rPr>
                <w:rFonts w:ascii="Arial" w:cs="Arial" w:eastAsia="Arial" w:hAnsi="Arial"/>
                <w:sz w:val="24"/>
                <w:szCs w:val="24"/>
              </w:rPr>
              <w:t xml:space="preserve"> (в соответствии со свидетельством о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Регистрационные данные:</w:t>
            </w:r>
          </w:p>
          <w:p>
            <w:pPr>
              <w:jc w:val="left"/>
            </w:pPr>
            <w:r>
              <w:rPr>
                <w:rFonts w:ascii="Arial" w:cs="Arial" w:eastAsia="Arial" w:hAnsi="Arial"/>
                <w:sz w:val="24"/>
                <w:szCs w:val="24"/>
              </w:rPr>
              <w:t xml:space="preserve">- юридический адрес (в соответствии со свидетельством о регистрации):</w:t>
            </w:r>
          </w:p>
          <w:p>
            <w:pPr>
              <w:jc w:val="left"/>
            </w:pPr>
            <w:r>
              <w:rPr>
                <w:rFonts w:ascii="Arial" w:cs="Arial" w:eastAsia="Arial" w:hAnsi="Arial"/>
                <w:sz w:val="24"/>
                <w:szCs w:val="24"/>
              </w:rPr>
              <w:t xml:space="preserve">- наименование органа регистрации:</w:t>
            </w:r>
          </w:p>
          <w:p>
            <w:pPr>
              <w:jc w:val="left"/>
            </w:pPr>
            <w:r>
              <w:rPr>
                <w:rFonts w:ascii="Arial" w:cs="Arial" w:eastAsia="Arial" w:hAnsi="Arial"/>
                <w:sz w:val="24"/>
                <w:szCs w:val="24"/>
              </w:rPr>
              <w:t xml:space="preserve">- регистрационный номер:</w:t>
            </w:r>
          </w:p>
          <w:p>
            <w:pPr>
              <w:jc w:val="left"/>
            </w:pPr>
            <w:r>
              <w:rPr>
                <w:rFonts w:ascii="Arial" w:cs="Arial" w:eastAsia="Arial" w:hAnsi="Arial"/>
                <w:sz w:val="24"/>
                <w:szCs w:val="24"/>
              </w:rPr>
              <w:t xml:space="preserve">- код ОКПО*:</w:t>
            </w:r>
          </w:p>
          <w:p>
            <w:pPr>
              <w:jc w:val="left"/>
            </w:pPr>
            <w:r>
              <w:rPr>
                <w:rFonts w:ascii="Arial" w:cs="Arial" w:eastAsia="Arial" w:hAnsi="Arial"/>
                <w:sz w:val="24"/>
                <w:szCs w:val="24"/>
              </w:rPr>
              <w:t xml:space="preserve">- идентификационный налоговый номер (ИНН):</w:t>
            </w:r>
          </w:p>
          <w:p>
            <w:pPr>
              <w:jc w:val="left"/>
            </w:pPr>
            <w:r>
              <w:rPr>
                <w:rFonts w:ascii="Arial" w:cs="Arial" w:eastAsia="Arial" w:hAnsi="Arial"/>
                <w:sz w:val="24"/>
                <w:szCs w:val="24"/>
              </w:rPr>
              <w:t xml:space="preserve">- дата регистрации: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Вид деятельности: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Выпускаемый товар/предоставляемая услуга: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Количество сотрудников:</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Фактический адрес</w:t>
            </w:r>
            <w:r>
              <w:rPr>
                <w:rFonts w:ascii="Arial" w:cs="Arial" w:eastAsia="Arial" w:hAnsi="Arial"/>
                <w:sz w:val="24"/>
                <w:szCs w:val="24"/>
              </w:rPr>
              <w:t xml:space="preserve"> (село, айылный аймак/город, район, область):</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Контактные данные</w:t>
            </w:r>
            <w:r>
              <w:rPr>
                <w:rFonts w:ascii="Arial" w:cs="Arial" w:eastAsia="Arial" w:hAnsi="Arial"/>
                <w:sz w:val="24"/>
                <w:szCs w:val="24"/>
              </w:rPr>
              <w:t xml:space="preserve"> (телефон, факс, мобильный номер, эл-почта):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ФИО контактного лица с Фондом</w:t>
            </w:r>
            <w:r>
              <w:rPr>
                <w:rFonts w:ascii="Arial" w:cs="Arial" w:eastAsia="Arial" w:hAnsi="Arial"/>
                <w:sz w:val="24"/>
                <w:szCs w:val="24"/>
              </w:rPr>
              <w:t xml:space="preserve"> (представитель заявителя) </w:t>
            </w:r>
            <w:r>
              <w:rPr>
                <w:rFonts w:ascii="Arial" w:cs="Arial" w:eastAsia="Arial" w:hAnsi="Arial"/>
                <w:b/>
                <w:bCs/>
                <w:sz w:val="24"/>
                <w:szCs w:val="24"/>
              </w:rPr>
              <w:t xml:space="preserve">и его контактные данные: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ФИО руководителя</w:t>
            </w:r>
            <w:r>
              <w:rPr>
                <w:rFonts w:ascii="Arial" w:cs="Arial" w:eastAsia="Arial" w:hAnsi="Arial"/>
                <w:sz w:val="24"/>
                <w:szCs w:val="24"/>
              </w:rPr>
              <w:t xml:space="preserve"> (директора) </w:t>
            </w:r>
            <w:r>
              <w:rPr>
                <w:rFonts w:ascii="Arial" w:cs="Arial" w:eastAsia="Arial" w:hAnsi="Arial"/>
                <w:b/>
                <w:bCs/>
                <w:sz w:val="24"/>
                <w:szCs w:val="24"/>
              </w:rPr>
              <w:t xml:space="preserve">и его контактные данные: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ФИО/наименование учредителей:</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вклада в капитал (в сомах и %):</w:t>
            </w:r>
          </w:p>
          <w:p>
            <w:pPr>
              <w:jc w:val="left"/>
            </w:pPr>
            <w:r>
              <w:rPr>
                <w:rFonts w:ascii="Arial" w:cs="Arial" w:eastAsia="Arial" w:hAnsi="Arial"/>
                <w:sz w:val="24"/>
                <w:szCs w:val="24"/>
              </w:rPr>
              <w:t xml:space="preserve">___________________________________________</w:t>
            </w:r>
          </w:p>
          <w:p>
            <w:pPr>
              <w:jc w:val="left"/>
            </w:pPr>
            <w:r>
              <w:rPr>
                <w:rFonts w:ascii="Arial" w:cs="Arial" w:eastAsia="Arial" w:hAnsi="Arial"/>
                <w:sz w:val="24"/>
                <w:szCs w:val="24"/>
              </w:rPr>
              <w:t xml:space="preserve">___________________________________________</w:t>
            </w:r>
          </w:p>
          <w:p>
            <w:pPr>
              <w:jc w:val="left"/>
            </w:pPr>
            <w:r>
              <w:rPr>
                <w:rFonts w:ascii="Arial" w:cs="Arial" w:eastAsia="Arial" w:hAnsi="Arial"/>
                <w:b/>
                <w:bCs/>
                <w:sz w:val="24"/>
                <w:szCs w:val="24"/>
              </w:rPr>
              <w:t xml:space="preserve">Итого:</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Краткое описание деятельности</w:t>
            </w:r>
            <w:r>
              <w:rPr>
                <w:rFonts w:ascii="Arial" w:cs="Arial" w:eastAsia="Arial" w:hAnsi="Arial"/>
                <w:sz w:val="24"/>
                <w:szCs w:val="24"/>
              </w:rPr>
              <w:t xml:space="preserve"> (история образования компании, срок деятельности, опыт работы в своем сегменте, основные активы у компании (производственные площади, оборудования, наличие сезонности и т.д.):</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Продукция/услуга</w:t>
            </w:r>
            <w:r>
              <w:rPr>
                <w:rFonts w:ascii="Arial" w:cs="Arial" w:eastAsia="Arial" w:hAnsi="Arial"/>
                <w:sz w:val="24"/>
                <w:szCs w:val="24"/>
              </w:rPr>
              <w:t xml:space="preserve"> (ассортимент продукции/услуг, производственные мощности, технологии производства/предоставления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Рынок сбыта</w:t>
            </w:r>
            <w:r>
              <w:rPr>
                <w:rFonts w:ascii="Arial" w:cs="Arial" w:eastAsia="Arial" w:hAnsi="Arial"/>
                <w:sz w:val="24"/>
                <w:szCs w:val="24"/>
              </w:rPr>
              <w:t xml:space="preserve"> (основные потребители товаров/услуг, доля экспорта, конкуренты, доля на рынке, сезонность, наличие социальной ответственности и др.)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указанная информация в заявке и приложенных документах является полной и достоверной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
 (ФИО должность)</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
 (подпись, печать)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
 (дата)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КРИТЕРИИ
 отбора социальных и инфраструктурных проектов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8mirf5arwolds8jpiw5oq">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КРИТЕРИИ
 отбора экономических проектов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nu5jobqwqiihg8hh3kwcd">
        <w:r>
          <w:rPr>
            <w:rFonts w:ascii="Arial" w:cs="Arial" w:eastAsia="Arial" w:hAnsi="Arial"/>
            <w:i/>
            <w:iCs/>
            <w:color w:val="1D4ED8"/>
            <w:sz w:val="24"/>
            <w:szCs w:val="24"/>
            <w:u w:val="single"/>
          </w:rPr>
          <w:t xml:space="preserve">6 апреля 2023 года № 187</w:t>
        </w:r>
      </w:hyperlink>
      <w:r>
        <w:rPr>
          <w:rFonts w:ascii="Arial" w:cs="Arial" w:eastAsia="Arial" w:hAnsi="Arial"/>
          <w:i/>
          <w:iCs/>
          <w:sz w:val="24"/>
          <w:szCs w:val="24"/>
        </w:rPr>
        <w:t xml:space="preserve">, </w:t>
      </w:r>
      <w:hyperlink w:history="1" r:id="rIdfrorqtqt22vdkasbo1hod">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p>
          <w:p>
            <w:pPr>
              <w:jc w:val="left"/>
            </w:pPr>
            <w:r>
              <w:rPr>
                <w:rFonts w:ascii="Arial" w:cs="Arial" w:eastAsia="Arial" w:hAnsi="Arial"/>
                <w:sz w:val="24"/>
                <w:szCs w:val="24"/>
              </w:rPr>
              <w:t xml:space="preserve">- все виды промышленной деятельности, в том числе легкая, пищевая и обрабатывающая промышленности;</w:t>
            </w:r>
          </w:p>
          <w:p>
            <w:pPr>
              <w:jc w:val="left"/>
            </w:pPr>
            <w:r>
              <w:rPr>
                <w:rFonts w:ascii="Arial" w:cs="Arial" w:eastAsia="Arial" w:hAnsi="Arial"/>
                <w:sz w:val="24"/>
                <w:szCs w:val="24"/>
              </w:rPr>
              <w:t xml:space="preserve">- энергетика;</w:t>
            </w:r>
          </w:p>
          <w:p>
            <w:pPr>
              <w:jc w:val="left"/>
            </w:pPr>
            <w:r>
              <w:rPr>
                <w:rFonts w:ascii="Arial" w:cs="Arial" w:eastAsia="Arial" w:hAnsi="Arial"/>
                <w:sz w:val="24"/>
                <w:szCs w:val="24"/>
              </w:rPr>
              <w:t xml:space="preserve">- туризм;</w:t>
            </w:r>
          </w:p>
          <w:p>
            <w:pPr>
              <w:jc w:val="left"/>
            </w:pPr>
            <w:r>
              <w:rPr>
                <w:rFonts w:ascii="Arial" w:cs="Arial" w:eastAsia="Arial" w:hAnsi="Arial"/>
                <w:sz w:val="24"/>
                <w:szCs w:val="24"/>
              </w:rPr>
              <w:t xml:space="preserve">- проекты в сфере продовольственной безопасности;</w:t>
            </w:r>
          </w:p>
          <w:p>
            <w:pPr>
              <w:jc w:val="left"/>
            </w:pPr>
            <w:r>
              <w:rPr>
                <w:rFonts w:ascii="Arial" w:cs="Arial" w:eastAsia="Arial" w:hAnsi="Arial"/>
                <w:sz w:val="24"/>
                <w:szCs w:val="24"/>
              </w:rPr>
              <w:t xml:space="preserve">- проекты в сфере креативной экономики, в том числе информационные технологии;</w:t>
            </w:r>
          </w:p>
          <w:p>
            <w:pPr>
              <w:jc w:val="left"/>
            </w:pPr>
            <w:r>
              <w:rPr>
                <w:rFonts w:ascii="Arial" w:cs="Arial" w:eastAsia="Arial" w:hAnsi="Arial"/>
                <w:sz w:val="24"/>
                <w:szCs w:val="24"/>
              </w:rPr>
              <w:t xml:space="preserve">- проекты в сфере зеленой экономики;</w:t>
            </w:r>
          </w:p>
          <w:p>
            <w:pPr>
              <w:jc w:val="left"/>
            </w:pPr>
            <w:r>
              <w:rPr>
                <w:rFonts w:ascii="Arial" w:cs="Arial" w:eastAsia="Arial" w:hAnsi="Arial"/>
                <w:sz w:val="24"/>
                <w:szCs w:val="24"/>
              </w:rPr>
              <w:t xml:space="preserve">- проекты в сферах образования и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ДОГОВОР
 о целевом финансировании социальных и инфраструктурных проектов</w:t>
      </w:r>
    </w:p>
    <w:p>
      <w:pPr>
        <w:spacing w:after="60"/>
        <w:jc w:val="right"/>
      </w:pPr>
      <w:r>
        <w:rPr>
          <w:rFonts w:ascii="Arial" w:cs="Arial" w:eastAsia="Arial" w:hAnsi="Arial"/>
          <w:sz w:val="24"/>
          <w:szCs w:val="24"/>
        </w:rPr>
        <w:t xml:space="preserve">"___" ________________________ 20__ года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Фонд развития ____________________________________ района/области, именуемый далее Фонд, в лице исполнительного директора Фонда __________________________, и государственное учреждение/исполнительный орган местного самоуправления ___________________________________ айылного аймака/города, именуемый далее "Получатель", вместе именуемые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Глава 1. Предмет Договора</w:t>
      </w:r>
    </w:p>
    <w:p>
      <w:pPr>
        <w:spacing w:after="60"/>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________________________________ в соответствии с условиями настоящего Договора.</w:t>
      </w:r>
    </w:p>
    <w:p>
      <w:pPr>
        <w:spacing w:after="60"/>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1) к Договору (далее - План), со сметой расходов, покрываемых за счет средств Получателя и Фонда (приложение 2) (далее - Смета), и планом финансирования проекта (приложение 3).</w:t>
      </w:r>
    </w:p>
    <w:p>
      <w:pPr>
        <w:spacing w:after="60"/>
        <w:jc w:val="both"/>
      </w:pPr>
      <w:r>
        <w:rPr>
          <w:rFonts w:ascii="Arial" w:cs="Arial" w:eastAsia="Arial" w:hAnsi="Arial"/>
          <w:sz w:val="24"/>
          <w:szCs w:val="24"/>
        </w:rPr>
        <w:t xml:space="preserve">1.3. Приложения 1, 2 и 3 являются неотъемлемыми частями настоящего Договора, без указанных приложений Договор является недействительным.</w:t>
      </w:r>
    </w:p>
    <w:p>
      <w:pPr>
        <w:spacing w:after="60"/>
        <w:jc w:val="both"/>
      </w:pPr>
      <w:r>
        <w:rPr>
          <w:rFonts w:ascii="Arial" w:cs="Arial" w:eastAsia="Arial" w:hAnsi="Arial"/>
          <w:sz w:val="24"/>
          <w:szCs w:val="24"/>
        </w:rPr>
        <w:t xml:space="preserve">1.4. Срок реализации проекта: с __________________ по ___________________ 20__ года.</w:t>
      </w:r>
    </w:p>
    <w:p>
      <w:pPr>
        <w:spacing w:after="200" w:before="200"/>
        <w:jc w:val="center"/>
      </w:pPr>
      <w:r>
        <w:rPr>
          <w:rFonts w:ascii="Arial" w:cs="Arial" w:eastAsia="Arial" w:hAnsi="Arial"/>
          <w:b/>
          <w:bCs/>
          <w:sz w:val="32"/>
          <w:szCs w:val="32"/>
        </w:rPr>
        <w:t xml:space="preserve">Глава 2. Размер гранта и порядок выплаты</w:t>
      </w:r>
    </w:p>
    <w:p>
      <w:pPr>
        <w:spacing w:after="60"/>
        <w:jc w:val="both"/>
      </w:pPr>
      <w:r>
        <w:rPr>
          <w:rFonts w:ascii="Arial" w:cs="Arial" w:eastAsia="Arial" w:hAnsi="Arial"/>
          <w:sz w:val="24"/>
          <w:szCs w:val="24"/>
        </w:rPr>
        <w:t xml:space="preserve">2.1. Общая сумма финансирования составляет ______________________________ (сумма прописью) сомов.</w:t>
      </w:r>
    </w:p>
    <w:p>
      <w:pPr>
        <w:spacing w:after="60"/>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60"/>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и подписавшей с ней договор на поставку работ/товаров/услуг.</w:t>
      </w:r>
    </w:p>
    <w:p>
      <w:pPr>
        <w:spacing w:after="60"/>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60"/>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200" w:before="200"/>
        <w:jc w:val="center"/>
      </w:pPr>
      <w:r>
        <w:rPr>
          <w:rFonts w:ascii="Arial" w:cs="Arial" w:eastAsia="Arial" w:hAnsi="Arial"/>
          <w:b/>
          <w:bCs/>
          <w:sz w:val="32"/>
          <w:szCs w:val="32"/>
        </w:rPr>
        <w:t xml:space="preserve">Глава 3. Права и обязанности Фонда</w:t>
      </w:r>
    </w:p>
    <w:p>
      <w:pPr>
        <w:spacing w:after="60"/>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60"/>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расходования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60"/>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00" w:before="200"/>
        <w:jc w:val="center"/>
      </w:pPr>
      <w:r>
        <w:rPr>
          <w:rFonts w:ascii="Arial" w:cs="Arial" w:eastAsia="Arial" w:hAnsi="Arial"/>
          <w:b/>
          <w:bCs/>
          <w:sz w:val="32"/>
          <w:szCs w:val="32"/>
        </w:rPr>
        <w:t xml:space="preserve">Глава 4. Права и обязанности получателя</w:t>
      </w:r>
    </w:p>
    <w:p>
      <w:pPr>
        <w:spacing w:after="60"/>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60"/>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 к Договору.</w:t>
      </w:r>
    </w:p>
    <w:p>
      <w:pPr>
        <w:spacing w:after="60"/>
        <w:jc w:val="both"/>
      </w:pPr>
      <w:r>
        <w:rPr>
          <w:rFonts w:ascii="Arial" w:cs="Arial" w:eastAsia="Arial" w:hAnsi="Arial"/>
          <w:sz w:val="24"/>
          <w:szCs w:val="24"/>
        </w:rPr>
        <w:t xml:space="preserve">4.3. Получатель обязуется:</w:t>
      </w:r>
    </w:p>
    <w:p>
      <w:pPr>
        <w:spacing w:after="60"/>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60"/>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(три) банковских дней должен обеспечить возврат неосвоенных денежных средств со счетов подрядчика и в течение 10 (десять) рабочих дней представить Фонду отчет о целевом использовании денежных средств согласно главе 5 настоящего Договора.</w:t>
      </w:r>
    </w:p>
    <w:p>
      <w:pPr>
        <w:spacing w:after="200" w:before="200"/>
        <w:jc w:val="center"/>
      </w:pPr>
      <w:r>
        <w:rPr>
          <w:rFonts w:ascii="Arial" w:cs="Arial" w:eastAsia="Arial" w:hAnsi="Arial"/>
          <w:b/>
          <w:bCs/>
          <w:sz w:val="32"/>
          <w:szCs w:val="32"/>
        </w:rPr>
        <w:t xml:space="preserve">Глава 5. Отчетность и контроль</w:t>
      </w:r>
    </w:p>
    <w:p>
      <w:pPr>
        <w:spacing w:after="60"/>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1 месяца после завершения проекта в 2 (два) экземплярах, содержащих информацию в соответствии с Планом, Сметой и Планом финансирования по достижению поставленных проектом целей.</w:t>
      </w:r>
    </w:p>
    <w:p>
      <w:pPr>
        <w:spacing w:after="60"/>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jc w:val="both"/>
      </w:pPr>
      <w:r>
        <w:rPr>
          <w:rFonts w:ascii="Arial" w:cs="Arial" w:eastAsia="Arial" w:hAnsi="Arial"/>
          <w:sz w:val="24"/>
          <w:szCs w:val="24"/>
        </w:rPr>
        <w:t xml:space="preserve">5.3. Фонд, получив от Получателя отчет, рассмотрит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60"/>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60"/>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60"/>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00" w:before="200"/>
        <w:jc w:val="center"/>
      </w:pPr>
      <w:r>
        <w:rPr>
          <w:rFonts w:ascii="Arial" w:cs="Arial" w:eastAsia="Arial" w:hAnsi="Arial"/>
          <w:b/>
          <w:bCs/>
          <w:sz w:val="32"/>
          <w:szCs w:val="32"/>
        </w:rPr>
        <w:t xml:space="preserve">Глава 6. Ответственность Сторон</w:t>
      </w:r>
    </w:p>
    <w:p>
      <w:pPr>
        <w:spacing w:after="60"/>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 их целевом использовании,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60"/>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60"/>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60"/>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60"/>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00" w:before="200"/>
        <w:jc w:val="center"/>
      </w:pPr>
      <w:r>
        <w:rPr>
          <w:rFonts w:ascii="Arial" w:cs="Arial" w:eastAsia="Arial" w:hAnsi="Arial"/>
          <w:b/>
          <w:bCs/>
          <w:sz w:val="32"/>
          <w:szCs w:val="32"/>
        </w:rPr>
        <w:t xml:space="preserve">Глава 8. Разрешение споров</w:t>
      </w:r>
    </w:p>
    <w:p>
      <w:pPr>
        <w:spacing w:after="60"/>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9. Заключительные положения</w:t>
      </w:r>
    </w:p>
    <w:p>
      <w:pPr>
        <w:spacing w:after="60"/>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(два) дней с момента направления документа посредством факса, электронной почты.</w:t>
      </w:r>
    </w:p>
    <w:p>
      <w:pPr>
        <w:spacing w:after="60"/>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00" w:before="200"/>
        <w:jc w:val="center"/>
      </w:pPr>
      <w:r>
        <w:rPr>
          <w:rFonts w:ascii="Arial" w:cs="Arial" w:eastAsia="Arial" w:hAnsi="Arial"/>
          <w:b/>
          <w:bCs/>
          <w:sz w:val="32"/>
          <w:szCs w:val="32"/>
        </w:rPr>
        <w:t xml:space="preserve">Глава 10. Приложения к настоящему Договору</w:t>
      </w:r>
    </w:p>
    <w:p>
      <w:pPr>
        <w:spacing w:after="60"/>
        <w:jc w:val="both"/>
      </w:pPr>
      <w:r>
        <w:rPr>
          <w:rFonts w:ascii="Arial" w:cs="Arial" w:eastAsia="Arial" w:hAnsi="Arial"/>
          <w:sz w:val="24"/>
          <w:szCs w:val="24"/>
        </w:rPr>
        <w:t xml:space="preserve">Приложение 1 - План реализации Проекта.</w:t>
      </w:r>
    </w:p>
    <w:p>
      <w:pPr>
        <w:spacing w:after="60"/>
        <w:jc w:val="both"/>
      </w:pPr>
      <w:r>
        <w:rPr>
          <w:rFonts w:ascii="Arial" w:cs="Arial" w:eastAsia="Arial" w:hAnsi="Arial"/>
          <w:sz w:val="24"/>
          <w:szCs w:val="24"/>
        </w:rPr>
        <w:t xml:space="preserve">Приложение 2 - Смета Проекта.</w:t>
      </w:r>
    </w:p>
    <w:p>
      <w:pPr>
        <w:spacing w:after="60"/>
        <w:jc w:val="both"/>
      </w:pPr>
      <w:r>
        <w:rPr>
          <w:rFonts w:ascii="Arial" w:cs="Arial" w:eastAsia="Arial" w:hAnsi="Arial"/>
          <w:sz w:val="24"/>
          <w:szCs w:val="24"/>
        </w:rPr>
        <w:t xml:space="preserve">Приложение 3 - План финансирования Проекта.</w:t>
      </w:r>
    </w:p>
    <w:p>
      <w:pPr>
        <w:spacing w:after="200" w:before="200"/>
        <w:jc w:val="center"/>
      </w:pPr>
      <w:r>
        <w:rPr>
          <w:rFonts w:ascii="Arial" w:cs="Arial" w:eastAsia="Arial" w:hAnsi="Arial"/>
          <w:b/>
          <w:bCs/>
          <w:sz w:val="32"/>
          <w:szCs w:val="32"/>
        </w:rPr>
        <w:t xml:space="preserve">Глава 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6-1</w:t>
      </w:r>
    </w:p>
    <w:p>
      <w:pPr>
        <w:spacing w:after="400" w:before="400"/>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3756"/>
        <w:gridCol w:w="2398"/>
        <w:gridCol w:w="1330"/>
        <w:gridCol w:w="2150"/>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СМЕТА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070"/>
        <w:gridCol w:w="2472"/>
        <w:gridCol w:w="2472"/>
        <w:gridCol w:w="1657"/>
      </w:tblGrid>
      <w:tr>
        <w:tc>
          <w:tcPr>
            <w:tcW w:type="dxa" w:w="5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49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затрат (сом)</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планируемая сумма</w:t>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068"/>
        <w:gridCol w:w="3007"/>
        <w:gridCol w:w="906"/>
        <w:gridCol w:w="906"/>
        <w:gridCol w:w="906"/>
        <w:gridCol w:w="906"/>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задачи/меры</w:t>
            </w:r>
          </w:p>
        </w:tc>
        <w:tc>
          <w:tcPr>
            <w:tcW w:type="dxa" w:w="3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36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кв.</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кв.</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ОТЧЕТ
 об использовании денежных средств</w:t>
      </w:r>
    </w:p>
    <w:p>
      <w:pPr>
        <w:spacing w:after="60"/>
        <w:jc w:val="both"/>
      </w:pPr>
      <w:r>
        <w:rPr>
          <w:rFonts w:ascii="Arial" w:cs="Arial" w:eastAsia="Arial" w:hAnsi="Arial"/>
          <w:sz w:val="24"/>
          <w:szCs w:val="24"/>
        </w:rPr>
        <w:t xml:space="preserve">Наименование организации _________________________________________</w:t>
      </w:r>
    </w:p>
    <w:p>
      <w:pPr>
        <w:spacing w:after="60"/>
        <w:jc w:val="both"/>
      </w:pPr>
      <w:r>
        <w:rPr>
          <w:rFonts w:ascii="Arial" w:cs="Arial" w:eastAsia="Arial" w:hAnsi="Arial"/>
          <w:sz w:val="24"/>
          <w:szCs w:val="24"/>
        </w:rPr>
        <w:t xml:space="preserve">Дата предоставления отчета ________________________________________</w:t>
      </w:r>
    </w:p>
    <w:p>
      <w:pPr>
        <w:spacing w:after="120"/>
        <w:jc w:val="both"/>
      </w:pPr>
      <w:r>
        <w:rPr>
          <w:rFonts w:ascii="Arial" w:cs="Arial" w:eastAsia="Arial" w:hAnsi="Arial"/>
          <w:sz w:val="24"/>
          <w:szCs w:val="24"/>
        </w:rPr>
        <w:t xml:space="preserve">Период предоставления отчета 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639"/>
        <w:gridCol w:w="1641"/>
        <w:gridCol w:w="1396"/>
        <w:gridCol w:w="1299"/>
        <w:gridCol w:w="1240"/>
        <w:gridCol w:w="1246"/>
        <w:gridCol w:w="135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с указанием даты поступления (план)</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с указанием даты поступления (факт)</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Планируемые расходы</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расходы</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по доходам</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по расходам</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Пояснения к отклонениям</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ТИПОВОЕ СОГЛАШЕНИЕ
 между фондом развития региона и банком по передаче прав на осуществление финансово-технического обслуживания кредитов по экономическим проектам</w:t>
      </w:r>
    </w:p>
    <w:p>
      <w:pPr>
        <w:tabs>
          <w:tab w:val="right" w:pos="10178"/>
        </w:tabs>
        <w:spacing w:after="120"/>
      </w:pP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r>
        <w:rPr>
          <w:rFonts w:ascii="Arial" w:cs="Arial" w:eastAsia="Arial" w:hAnsi="Arial"/>
          <w:sz w:val="24"/>
          <w:szCs w:val="24"/>
        </w:rPr>
        <w:t xml:space="preserve">г. _</w:t>
      </w:r>
      <w:r>
        <w:rPr>
          <w:rFonts w:ascii="Arial" w:cs="Arial" w:eastAsia="Arial" w:hAnsi="Arial"/>
          <w:sz w:val="24"/>
          <w:szCs w:val="24"/>
        </w:rPr>
        <w:t xml:space="preserve">___________________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Учреждение "Фонд развития ______________________________", именуемое в дальнейшем "Фонд", в лице исполнительного директора ___________________________, действующего на основании Устава, с одной стороны, и _______________ акционерное общество "______________________", именуемый в дальнейшем "Банк", в лице председателя правления Банка, _______________, действующего на основании Устава Банка, с другой стороны, совместно именуемые в дальнейшем "Стороны", а по отдельности "Сторона",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jc w:val="both"/>
      </w:pPr>
      <w:r>
        <w:rPr>
          <w:rFonts w:ascii="Arial" w:cs="Arial" w:eastAsia="Arial" w:hAnsi="Arial"/>
          <w:sz w:val="24"/>
          <w:szCs w:val="24"/>
        </w:rPr>
        <w:t xml:space="preserve">1.1. Согласно Типовому положению о Фондах развития регионов, (далее - "Типовое положение"), Фонд осуществляет финансирование субъектов предпринимательства через передачу денежных средств и права Банку на осуществление финансово-технического обслуживания кредитов по экономическим проектам.</w:t>
      </w:r>
    </w:p>
    <w:p>
      <w:pPr>
        <w:spacing w:after="60"/>
        <w:jc w:val="both"/>
      </w:pPr>
      <w:r>
        <w:rPr>
          <w:rFonts w:ascii="Arial" w:cs="Arial" w:eastAsia="Arial" w:hAnsi="Arial"/>
          <w:sz w:val="24"/>
          <w:szCs w:val="24"/>
        </w:rPr>
        <w:t xml:space="preserve">1.2. Фонд предоставляет Банку денежные средства в национальной валюте Кыргызской Республики на условиях срочности, возвратности, платности, в порядке и на условиях, предусмотренных в Типовом положении и в настоящем Соглашении, а Банк обязуется возвратить полученные денежные средства и уплатить проценты за пользование ими Фонду.</w:t>
      </w:r>
    </w:p>
    <w:p>
      <w:pPr>
        <w:spacing w:after="60"/>
        <w:jc w:val="both"/>
      </w:pPr>
      <w:r>
        <w:rPr>
          <w:rFonts w:ascii="Arial" w:cs="Arial" w:eastAsia="Arial" w:hAnsi="Arial"/>
          <w:sz w:val="24"/>
          <w:szCs w:val="24"/>
        </w:rPr>
        <w:t xml:space="preserve">1.3. Финансово-техническое обслуживание кредитов Банком производится согласно внутренним нормативным актам Банка при соблюдении следующих условий:</w:t>
      </w:r>
    </w:p>
    <w:p>
      <w:pPr>
        <w:spacing w:after="60"/>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w:t>
      </w:r>
    </w:p>
    <w:p>
      <w:pPr>
        <w:spacing w:after="60"/>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60"/>
        <w:jc w:val="both"/>
      </w:pPr>
      <w:r>
        <w:rPr>
          <w:rFonts w:ascii="Arial" w:cs="Arial" w:eastAsia="Arial" w:hAnsi="Arial"/>
          <w:sz w:val="24"/>
          <w:szCs w:val="24"/>
        </w:rPr>
        <w:t xml:space="preserve">1.4. Денежные средства, выдаваемые Фондом Банку в соответствии с настоящим Соглашением, имеют целевое назначение и предназначены для кредитования субъектов предпринимательства, зарегистрированных и осуществляющих свою деятельность на территории _____________________________ района ______________________ области Кыргызской Республики, деятельность которых направлена на социально-экономическое развитие региона.</w:t>
      </w:r>
    </w:p>
    <w:p>
      <w:pPr>
        <w:spacing w:after="200" w:before="200"/>
        <w:jc w:val="center"/>
      </w:pPr>
      <w:r>
        <w:rPr>
          <w:rFonts w:ascii="Arial" w:cs="Arial" w:eastAsia="Arial" w:hAnsi="Arial"/>
          <w:b/>
          <w:bCs/>
          <w:sz w:val="32"/>
          <w:szCs w:val="32"/>
        </w:rPr>
        <w:t xml:space="preserve">2. Порядок финансирования экономических проектов</w:t>
      </w:r>
    </w:p>
    <w:p>
      <w:pPr>
        <w:spacing w:after="60"/>
        <w:jc w:val="both"/>
      </w:pPr>
      <w:r>
        <w:rPr>
          <w:rFonts w:ascii="Arial" w:cs="Arial" w:eastAsia="Arial" w:hAnsi="Arial"/>
          <w:sz w:val="24"/>
          <w:szCs w:val="24"/>
        </w:rPr>
        <w:t xml:space="preserve">2.1. Фонд перечисляет денежные средства на расчетный счет Фонда в Банке в национальной валюте Кыргызской Республики целиком или траншами, в размере, согласно решениям Наблюдательного совета Фонда.</w:t>
      </w:r>
    </w:p>
    <w:p>
      <w:pPr>
        <w:spacing w:after="60"/>
        <w:jc w:val="both"/>
      </w:pPr>
      <w:r>
        <w:rPr>
          <w:rFonts w:ascii="Arial" w:cs="Arial" w:eastAsia="Arial" w:hAnsi="Arial"/>
          <w:sz w:val="24"/>
          <w:szCs w:val="24"/>
        </w:rPr>
        <w:t xml:space="preserve">2.2. Фонд ежеквартально на основе полученных заявок от субъектов предпринимательства формирует и утверждает перечень экономических проектов (далее - проекты), подлежащих финансированию, в случае их соответствия условиям и требованиям Банка. Соответствующее решение Наблюдательного совета Фонда направляется в Банк и заявителям не позднее 1 числа третьего месяца текущего квартала.</w:t>
      </w:r>
    </w:p>
    <w:p>
      <w:pPr>
        <w:spacing w:after="60"/>
        <w:jc w:val="both"/>
      </w:pPr>
      <w:r>
        <w:rPr>
          <w:rFonts w:ascii="Arial" w:cs="Arial" w:eastAsia="Arial" w:hAnsi="Arial"/>
          <w:sz w:val="24"/>
          <w:szCs w:val="24"/>
        </w:rPr>
        <w:t xml:space="preserve">2.3. Заявители, одобренные решением Наблюдательного совета Фонда проектов, обращаются в Банк для дальнейшего предоставления необходимых документов согласно условиям и требованиям Банка.</w:t>
      </w:r>
    </w:p>
    <w:p>
      <w:pPr>
        <w:spacing w:after="60"/>
        <w:jc w:val="both"/>
      </w:pPr>
      <w:r>
        <w:rPr>
          <w:rFonts w:ascii="Arial" w:cs="Arial" w:eastAsia="Arial" w:hAnsi="Arial"/>
          <w:sz w:val="24"/>
          <w:szCs w:val="24"/>
        </w:rPr>
        <w:t xml:space="preserve">2.4. Банк на основании решения Наблюдательного совета Фонда рассматривает заявки субъектов предпринимательства в рамках настоящего Соглашения в установленные внутренним регламентом Банка сроки.</w:t>
      </w:r>
    </w:p>
    <w:p>
      <w:pPr>
        <w:spacing w:after="60"/>
        <w:jc w:val="both"/>
      </w:pPr>
      <w:r>
        <w:rPr>
          <w:rFonts w:ascii="Arial" w:cs="Arial" w:eastAsia="Arial" w:hAnsi="Arial"/>
          <w:sz w:val="24"/>
          <w:szCs w:val="24"/>
        </w:rPr>
        <w:t xml:space="preserve">2.5. Между Банком и субъектом предпринимательства, чей проект соответствует требованиям и условиям Банка, заключается кредитный договор к настоящему Соглашению на вышеуказанных условиях и составляется (аннуитетный, ежеквартальный, с льготным периодом) "График погашения" на сумму, определенную в решении Наблюдательного совета Фонда. Проекты, не соответствующие требованиям и условиям Банка, могут быть отклонены со стороны Банка.</w:t>
      </w:r>
    </w:p>
    <w:p>
      <w:pPr>
        <w:spacing w:after="60"/>
        <w:jc w:val="both"/>
      </w:pPr>
      <w:r>
        <w:rPr>
          <w:rFonts w:ascii="Arial" w:cs="Arial" w:eastAsia="Arial" w:hAnsi="Arial"/>
          <w:sz w:val="24"/>
          <w:szCs w:val="24"/>
        </w:rPr>
        <w:t xml:space="preserve">2.6. Оплата комиссии за обналичивание денежных средств в рамках кредитного договора между Банком и субъектом предпринимательства устанавливается в размере не более 0,5% и покрывается субъектом предпринимательства.</w:t>
      </w:r>
    </w:p>
    <w:p>
      <w:pPr>
        <w:spacing w:after="60"/>
        <w:jc w:val="both"/>
      </w:pPr>
      <w:r>
        <w:rPr>
          <w:rFonts w:ascii="Arial" w:cs="Arial" w:eastAsia="Arial" w:hAnsi="Arial"/>
          <w:sz w:val="24"/>
          <w:szCs w:val="24"/>
        </w:rPr>
        <w:t xml:space="preserve">2.7. Предельные процентные ставки для субъектов предпринимательства и проценты, уплачиваемые Банком Фонду за пользование денежными средствами, определены в пункте 1.3 настоящего Соглашения.</w:t>
      </w:r>
    </w:p>
    <w:p>
      <w:pPr>
        <w:spacing w:after="60"/>
        <w:jc w:val="both"/>
      </w:pPr>
      <w:r>
        <w:rPr>
          <w:rFonts w:ascii="Arial" w:cs="Arial" w:eastAsia="Arial" w:hAnsi="Arial"/>
          <w:sz w:val="24"/>
          <w:szCs w:val="24"/>
        </w:rPr>
        <w:t xml:space="preserve">2.8. Общим периодом для начисления процентов является период со дня, следующего за днем выдачи денежных средств заемщику до дня окончания срока начисления процентов согласно "Графику погашения задолженности", который является неотъемлемой частью кредитного договора (включительно или до дня полного досрочного погашения заемщиком всего кредита (включительно).</w:t>
      </w:r>
    </w:p>
    <w:p>
      <w:pPr>
        <w:spacing w:after="200" w:before="200"/>
        <w:jc w:val="center"/>
      </w:pPr>
      <w:r>
        <w:rPr>
          <w:rFonts w:ascii="Arial" w:cs="Arial" w:eastAsia="Arial" w:hAnsi="Arial"/>
          <w:b/>
          <w:bCs/>
          <w:sz w:val="32"/>
          <w:szCs w:val="32"/>
        </w:rPr>
        <w:t xml:space="preserve">3. Права и обязательства Сторон</w:t>
      </w:r>
    </w:p>
    <w:p>
      <w:pPr>
        <w:spacing w:after="60"/>
        <w:jc w:val="both"/>
      </w:pPr>
      <w:r>
        <w:rPr>
          <w:rFonts w:ascii="Arial" w:cs="Arial" w:eastAsia="Arial" w:hAnsi="Arial"/>
          <w:sz w:val="24"/>
          <w:szCs w:val="24"/>
        </w:rPr>
        <w:t xml:space="preserve">3.1. Банк обязуется использовать денежные средства Фонда исключительно на выдачу кредитов субъектам предпринимательства, одобренным решением Наблюдательного совета Фонда.</w:t>
      </w:r>
    </w:p>
    <w:p>
      <w:pPr>
        <w:spacing w:after="60"/>
        <w:jc w:val="both"/>
      </w:pPr>
      <w:r>
        <w:rPr>
          <w:rFonts w:ascii="Arial" w:cs="Arial" w:eastAsia="Arial" w:hAnsi="Arial"/>
          <w:sz w:val="24"/>
          <w:szCs w:val="24"/>
        </w:rPr>
        <w:t xml:space="preserve">3.2. Банк не вправе самостоятельно использовать полученные денежные средства от Фонда для проведения иных операций, отличных от указанных в пункта 3.1. настоящего Соглашения, в том числе для проведения операций на межбанковском рынке, валютном рынке и рынке ценных бумаг, включая рынок государственных ценных бумаг.</w:t>
      </w:r>
    </w:p>
    <w:p>
      <w:pPr>
        <w:spacing w:after="60"/>
        <w:jc w:val="both"/>
      </w:pPr>
      <w:r>
        <w:rPr>
          <w:rFonts w:ascii="Arial" w:cs="Arial" w:eastAsia="Arial" w:hAnsi="Arial"/>
          <w:sz w:val="24"/>
          <w:szCs w:val="24"/>
        </w:rPr>
        <w:t xml:space="preserve">3.3. Денежные средства, выплачиваемые заемщиками Банку в счет погашения суммы основного долга и процентов за пользование денежными средствами по кредитному договору между субъектом предпринимательства и Банком, подлежат поступлению на расчетный счет Фонда на ежемесячной основе по первым рабочим банковским дням после завершения месяца и могут направляться на дальнейшее реинвестирование экономических проектов, одобренных Фондом.</w:t>
      </w:r>
    </w:p>
    <w:p>
      <w:pPr>
        <w:spacing w:after="60"/>
        <w:jc w:val="both"/>
      </w:pPr>
      <w:r>
        <w:rPr>
          <w:rFonts w:ascii="Arial" w:cs="Arial" w:eastAsia="Arial" w:hAnsi="Arial"/>
          <w:sz w:val="24"/>
          <w:szCs w:val="24"/>
        </w:rPr>
        <w:t xml:space="preserve">3.4. В случае отсутствия заявок на получение кредитных средств реинвестирования денежных средств, то на основании обращения Фонда Банк размещает свободные денежные средства Фонда на депозитном счете в виде срочного вклада и/или вклада до востребования с начислением процентов Фонду в размере согласно установленным тарифам Банка.</w:t>
      </w:r>
    </w:p>
    <w:p>
      <w:pPr>
        <w:spacing w:after="60"/>
        <w:jc w:val="both"/>
      </w:pPr>
      <w:r>
        <w:rPr>
          <w:rFonts w:ascii="Arial" w:cs="Arial" w:eastAsia="Arial" w:hAnsi="Arial"/>
          <w:sz w:val="24"/>
          <w:szCs w:val="24"/>
        </w:rPr>
        <w:t xml:space="preserve">3.5. Банк не вправе направлять полученные денежные средства от Фонда в рамках настоящего Соглашения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jc w:val="both"/>
      </w:pPr>
      <w:r>
        <w:rPr>
          <w:rFonts w:ascii="Arial" w:cs="Arial" w:eastAsia="Arial" w:hAnsi="Arial"/>
          <w:sz w:val="24"/>
          <w:szCs w:val="24"/>
        </w:rPr>
        <w:t xml:space="preserve">3.6. При недостаточности средств, перечисленных Банком в погашение платежа, предусмотренного по графику выплаты, произведенные Банком платежи по настоящему Соглашению засчитываются в первую очередь в погашение основной суммы, затем процентов, затем штрафов.</w:t>
      </w:r>
    </w:p>
    <w:p>
      <w:pPr>
        <w:spacing w:after="60"/>
        <w:jc w:val="both"/>
      </w:pPr>
      <w:r>
        <w:rPr>
          <w:rFonts w:ascii="Arial" w:cs="Arial" w:eastAsia="Arial" w:hAnsi="Arial"/>
          <w:sz w:val="24"/>
          <w:szCs w:val="24"/>
        </w:rPr>
        <w:t xml:space="preserve">3.7. Банк обязуется в течение всего периода пользования финансовыми средствами по письменному уведомлению Фонда предоставлять необходимые сведения по финансово-хозяйственной деятельности Банка, касающиеся финансирования проектов в рамках настоящего Соглашения.</w:t>
      </w:r>
    </w:p>
    <w:p>
      <w:pPr>
        <w:spacing w:after="60"/>
        <w:jc w:val="both"/>
      </w:pPr>
      <w:r>
        <w:rPr>
          <w:rFonts w:ascii="Arial" w:cs="Arial" w:eastAsia="Arial" w:hAnsi="Arial"/>
          <w:sz w:val="24"/>
          <w:szCs w:val="24"/>
        </w:rPr>
        <w:t xml:space="preserve">3.8. Расходы, связанные с исполнением настоящего Соглашения (в том числе расходы, связанные с передачей информации и/или документации, расходы по перечислению средств и т.д.) в рамках настоящего Соглашения, возлагаются на Банк.</w:t>
      </w:r>
    </w:p>
    <w:p>
      <w:pPr>
        <w:spacing w:after="60"/>
        <w:jc w:val="both"/>
      </w:pPr>
      <w:r>
        <w:rPr>
          <w:rFonts w:ascii="Arial" w:cs="Arial" w:eastAsia="Arial" w:hAnsi="Arial"/>
          <w:sz w:val="24"/>
          <w:szCs w:val="24"/>
        </w:rPr>
        <w:t xml:space="preserve">3.9. Если дата исполнения какого-либо платежа по настоящему Соглашению придется на день, не являющийся рабочим банковским днем, то такой платеж должен быть осуществлен в первый рабочий день, следующий за не рабочим днем.</w:t>
      </w:r>
    </w:p>
    <w:p>
      <w:pPr>
        <w:spacing w:after="60"/>
        <w:jc w:val="both"/>
      </w:pPr>
      <w:r>
        <w:rPr>
          <w:rFonts w:ascii="Arial" w:cs="Arial" w:eastAsia="Arial" w:hAnsi="Arial"/>
          <w:sz w:val="24"/>
          <w:szCs w:val="24"/>
        </w:rPr>
        <w:t xml:space="preserve">3.10. Банк обеспечивает возврат свободных денежных средств в размере, определенном в письменном уведомлении Фонда Банку, основанного на решении Наблюдательного совета Фонда, не менее чем за 15 календарных дней до предполагаемой даты получения денежных средств Фондом.</w:t>
      </w:r>
    </w:p>
    <w:p>
      <w:pPr>
        <w:spacing w:after="60"/>
        <w:jc w:val="both"/>
      </w:pPr>
      <w:r>
        <w:rPr>
          <w:rFonts w:ascii="Arial" w:cs="Arial" w:eastAsia="Arial" w:hAnsi="Arial"/>
          <w:sz w:val="24"/>
          <w:szCs w:val="24"/>
        </w:rPr>
        <w:t xml:space="preserve">3.11. Банк несет ответственность за целевое использование денежных средств, полученных от Фонда, в соответствии с настоящим Соглашением.</w:t>
      </w:r>
    </w:p>
    <w:p>
      <w:pPr>
        <w:spacing w:after="60"/>
        <w:jc w:val="both"/>
      </w:pPr>
      <w:r>
        <w:rPr>
          <w:rFonts w:ascii="Arial" w:cs="Arial" w:eastAsia="Arial" w:hAnsi="Arial"/>
          <w:sz w:val="24"/>
          <w:szCs w:val="24"/>
        </w:rPr>
        <w:t xml:space="preserve">3.12. Все риски по выдаче и возврату кредитов субъектами предпринимательства лежат на Банке.</w:t>
      </w:r>
    </w:p>
    <w:p>
      <w:pPr>
        <w:spacing w:after="200" w:before="200"/>
        <w:jc w:val="center"/>
      </w:pPr>
      <w:r>
        <w:rPr>
          <w:rFonts w:ascii="Arial" w:cs="Arial" w:eastAsia="Arial" w:hAnsi="Arial"/>
          <w:b/>
          <w:bCs/>
          <w:sz w:val="32"/>
          <w:szCs w:val="32"/>
        </w:rPr>
        <w:t xml:space="preserve">4. Разрешение споров</w:t>
      </w:r>
    </w:p>
    <w:p>
      <w:pPr>
        <w:spacing w:after="60"/>
        <w:jc w:val="both"/>
      </w:pPr>
      <w:r>
        <w:rPr>
          <w:rFonts w:ascii="Arial" w:cs="Arial" w:eastAsia="Arial" w:hAnsi="Arial"/>
          <w:sz w:val="24"/>
          <w:szCs w:val="24"/>
        </w:rPr>
        <w:t xml:space="preserve">4.1.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60"/>
        <w:jc w:val="both"/>
      </w:pPr>
      <w:r>
        <w:rPr>
          <w:rFonts w:ascii="Arial" w:cs="Arial" w:eastAsia="Arial" w:hAnsi="Arial"/>
          <w:sz w:val="24"/>
          <w:szCs w:val="24"/>
        </w:rPr>
        <w:t xml:space="preserve">4.2.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60"/>
        <w:jc w:val="both"/>
      </w:pPr>
      <w:r>
        <w:rPr>
          <w:rFonts w:ascii="Arial" w:cs="Arial" w:eastAsia="Arial" w:hAnsi="Arial"/>
          <w:sz w:val="24"/>
          <w:szCs w:val="24"/>
        </w:rPr>
        <w:t xml:space="preserve">4.3. 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60"/>
        <w:jc w:val="both"/>
      </w:pPr>
      <w:r>
        <w:rPr>
          <w:rFonts w:ascii="Arial" w:cs="Arial" w:eastAsia="Arial" w:hAnsi="Arial"/>
          <w:sz w:val="24"/>
          <w:szCs w:val="24"/>
        </w:rPr>
        <w:t xml:space="preserve">4.4. В случае неисполнения со стороны Банка обязательств по возврату всей (части) суммы денежных средств, на сумму просроченной задолженности будут начисляться проценты по ставке 4% годовых с момента просрочки Банком исполнения обязательств по настоящему Соглашению по день фактического погашения всей суммы просроченной задолженности включительно.</w:t>
      </w:r>
    </w:p>
    <w:p>
      <w:pPr>
        <w:spacing w:after="60"/>
        <w:jc w:val="both"/>
      </w:pPr>
      <w:r>
        <w:rPr>
          <w:rFonts w:ascii="Arial" w:cs="Arial" w:eastAsia="Arial" w:hAnsi="Arial"/>
          <w:sz w:val="24"/>
          <w:szCs w:val="24"/>
        </w:rPr>
        <w:t xml:space="preserve">4.5. В случае нарушения Банком обязательств, взятых на себя в соответствие с настоящим Соглашением, Фонд вправе потребовать от Банка досрочной выплаты процентов за фактическое время пользования денежными средствами и суммы основного Займа по ставке, указанной в пункте 4.4 настоящего Соглашения.</w:t>
      </w:r>
    </w:p>
    <w:p>
      <w:pPr>
        <w:spacing w:after="200" w:before="200"/>
        <w:jc w:val="center"/>
      </w:pPr>
      <w:r>
        <w:rPr>
          <w:rFonts w:ascii="Arial" w:cs="Arial" w:eastAsia="Arial" w:hAnsi="Arial"/>
          <w:b/>
          <w:bCs/>
          <w:sz w:val="32"/>
          <w:szCs w:val="32"/>
        </w:rPr>
        <w:t xml:space="preserve">5. Мониторинг кредита</w:t>
      </w:r>
    </w:p>
    <w:p>
      <w:pPr>
        <w:spacing w:after="60"/>
        <w:jc w:val="both"/>
      </w:pPr>
      <w:r>
        <w:rPr>
          <w:rFonts w:ascii="Arial" w:cs="Arial" w:eastAsia="Arial" w:hAnsi="Arial"/>
          <w:sz w:val="24"/>
          <w:szCs w:val="24"/>
        </w:rPr>
        <w:t xml:space="preserve">5.1. По запросу Фонда Банк предоставляет Фонду отчет о размещении денежных средств и предоставляет необходимые данные для анализа целевого использования денежных средств Фонда.</w:t>
      </w:r>
    </w:p>
    <w:p>
      <w:pPr>
        <w:spacing w:after="60"/>
        <w:jc w:val="both"/>
      </w:pPr>
      <w:r>
        <w:rPr>
          <w:rFonts w:ascii="Arial" w:cs="Arial" w:eastAsia="Arial" w:hAnsi="Arial"/>
          <w:sz w:val="24"/>
          <w:szCs w:val="24"/>
        </w:rPr>
        <w:t xml:space="preserve">5.2. Фонд и Банк не несут ответственности друг перед другом за соответствие содержания представленных им сведений, которые не могли быть проверены в ходе мониторинга целевого использования денежных средств.</w:t>
      </w:r>
    </w:p>
    <w:p>
      <w:pPr>
        <w:spacing w:after="60"/>
        <w:jc w:val="both"/>
      </w:pPr>
      <w:r>
        <w:rPr>
          <w:rFonts w:ascii="Arial" w:cs="Arial" w:eastAsia="Arial" w:hAnsi="Arial"/>
          <w:sz w:val="24"/>
          <w:szCs w:val="24"/>
        </w:rPr>
        <w:t xml:space="preserve">5.3. Фонд не имеет право передавать полученную от Банка информацию, составляющую банковскую тайну, любым третьим лицам, без получения от Банка соответствующего письменного разрешения кроме случаев,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jc w:val="both"/>
      </w:pPr>
      <w:r>
        <w:rPr>
          <w:rFonts w:ascii="Arial" w:cs="Arial" w:eastAsia="Arial" w:hAnsi="Arial"/>
          <w:sz w:val="24"/>
          <w:szCs w:val="24"/>
        </w:rPr>
        <w:t xml:space="preserve">6.1. Настоящее Соглашение вступает в силу с даты его подписания Сторонами и подлежит расторжению по согласованию Сторон при полном исполнении Сторонами своих обязательств.</w:t>
      </w:r>
    </w:p>
    <w:p>
      <w:pPr>
        <w:spacing w:after="60"/>
        <w:jc w:val="both"/>
      </w:pPr>
      <w:r>
        <w:rPr>
          <w:rFonts w:ascii="Arial" w:cs="Arial" w:eastAsia="Arial" w:hAnsi="Arial"/>
          <w:sz w:val="24"/>
          <w:szCs w:val="24"/>
        </w:rPr>
        <w:t xml:space="preserve">6.2.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60"/>
        <w:jc w:val="both"/>
      </w:pPr>
      <w:r>
        <w:rPr>
          <w:rFonts w:ascii="Arial" w:cs="Arial" w:eastAsia="Arial" w:hAnsi="Arial"/>
          <w:sz w:val="24"/>
          <w:szCs w:val="24"/>
        </w:rPr>
        <w:t xml:space="preserve">6.3.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60"/>
        <w:jc w:val="both"/>
      </w:pPr>
      <w:r>
        <w:rPr>
          <w:rFonts w:ascii="Arial" w:cs="Arial" w:eastAsia="Arial" w:hAnsi="Arial"/>
          <w:sz w:val="24"/>
          <w:szCs w:val="24"/>
        </w:rPr>
        <w:t xml:space="preserve">6.4. Банк не вправе полностью или частично переуступать свои права и обязательства по настоящему Соглашению другому лицу без письменного согласия Фонда.</w:t>
      </w:r>
    </w:p>
    <w:p>
      <w:pPr>
        <w:spacing w:after="60"/>
        <w:jc w:val="both"/>
      </w:pPr>
      <w:r>
        <w:rPr>
          <w:rFonts w:ascii="Arial" w:cs="Arial" w:eastAsia="Arial" w:hAnsi="Arial"/>
          <w:sz w:val="24"/>
          <w:szCs w:val="24"/>
        </w:rPr>
        <w:t xml:space="preserve">6.5. Односторонний отказ от исполнения условий настоящего Соглашения полностью или частично не допускается.</w:t>
      </w:r>
    </w:p>
    <w:p>
      <w:pPr>
        <w:spacing w:after="60"/>
        <w:jc w:val="both"/>
      </w:pPr>
      <w:r>
        <w:rPr>
          <w:rFonts w:ascii="Arial" w:cs="Arial" w:eastAsia="Arial" w:hAnsi="Arial"/>
          <w:sz w:val="24"/>
          <w:szCs w:val="24"/>
        </w:rPr>
        <w:t xml:space="preserve">6.6. Если одна из Сторон изменит свои почтовые, контактные или платежные реквизиты, она обязана письменно информировать об этом другую Сторону до вступления в силу этих изменений. В противном случае вся корреспонденция, направленная Стороне, не уведомившей о состоявшемся изменении почтовых реквизитов, считается доставленной этой Стороне надлежащим образом при условии, что Сторона-отправитель корреспонденции представит подтверждение отправления корреспонденции заказным письмом с уведомлением о вручении по последним известным почтовым реквизитам Стороны-получателя.</w:t>
      </w:r>
    </w:p>
    <w:p>
      <w:pPr>
        <w:spacing w:after="60"/>
        <w:jc w:val="both"/>
      </w:pPr>
      <w:r>
        <w:rPr>
          <w:rFonts w:ascii="Arial" w:cs="Arial" w:eastAsia="Arial" w:hAnsi="Arial"/>
          <w:sz w:val="24"/>
          <w:szCs w:val="24"/>
        </w:rPr>
        <w:t xml:space="preserve">6.7. Настоящее Соглашение составлено в двух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7. Реквизиты и подписи Сторон</w:t>
      </w:r>
    </w:p>
    <w:p>
      <w:pPr>
        <w:spacing w:after="120"/>
        <w:jc w:val="both"/>
      </w:pPr>
      <w:r>
        <w:rPr>
          <w:rFonts w:ascii="Arial" w:cs="Arial" w:eastAsia="Arial" w:hAnsi="Arial"/>
          <w:sz w:val="24"/>
          <w:szCs w:val="24"/>
        </w:rPr>
        <w:t xml:space="preserve">7.1. Юридические адреса и реквизиты Сторон:</w:t>
      </w:r>
    </w:p>
    <w:p>
      <w:pPr>
        <w:tabs>
          <w:tab w:val="right" w:pos="10178"/>
        </w:tabs>
        <w:spacing w:after="120"/>
      </w:pP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r>
        <w:rPr>
          <w:rFonts w:ascii="Arial" w:cs="Arial" w:eastAsia="Arial" w:hAnsi="Arial"/>
          <w:sz w:val="24"/>
          <w:szCs w:val="24"/>
        </w:rPr>
        <w:t xml:space="preserve">Банк:</w:t>
      </w:r>
      <w:r>
        <w:rPr>
          <w:rFonts w:ascii="Arial" w:cs="Arial" w:eastAsia="Arial" w:hAnsi="Arial"/>
          <w:sz w:val="24"/>
          <w:szCs w:val="24"/>
        </w:rPr>
        <w:t xml:space="preserve">	</w:t>
      </w:r>
      <w:r>
        <w:rPr>
          <w:rFonts w:ascii="Arial" w:cs="Arial" w:eastAsia="Arial" w:hAnsi="Arial"/>
          <w:sz w:val="24"/>
          <w:szCs w:val="24"/>
        </w:rPr>
        <w:t xml:space="preserve">Фонд:</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60" w:before="120"/>
        <w:jc w:val="both"/>
      </w:pPr>
      <w:r>
        <w:rPr>
          <w:rFonts w:ascii="Arial" w:cs="Arial" w:eastAsia="Arial" w:hAnsi="Arial"/>
          <w:sz w:val="24"/>
          <w:szCs w:val="24"/>
        </w:rPr>
        <w:t xml:space="preserve">7.2. Дата и место подписания, ФИО подписывающих лиц от каждой Стороны, печати Сторон.</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Банк ________________________________</w:t>
      </w:r>
      <w:r>
        <w:rPr>
          <w:rFonts w:ascii="Arial" w:cs="Arial" w:eastAsia="Arial" w:hAnsi="Arial"/>
          <w:sz w:val="24"/>
          <w:szCs w:val="24"/>
        </w:rPr>
        <w:t xml:space="preserve">	</w:t>
      </w:r>
      <w:r>
        <w:rPr>
          <w:rFonts w:ascii="Arial" w:cs="Arial" w:eastAsia="Arial" w:hAnsi="Arial"/>
          <w:sz w:val="24"/>
          <w:szCs w:val="24"/>
        </w:rPr>
        <w:t xml:space="preserve">Фонд 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Соглашение № ___________ от "___" _____________________ 20__ года</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w:t>
      </w:r>
      <w:r>
        <w:rPr>
          <w:rFonts w:ascii="Arial" w:cs="Arial" w:eastAsia="Arial" w:hAnsi="Arial"/>
          <w:sz w:val="20"/>
          <w:szCs w:val="20"/>
        </w:rPr>
        <w:t xml:space="preserve">Приложение 8</w:t>
      </w:r>
    </w:p>
    <w:p>
      <w:pPr>
        <w:spacing w:after="400" w:before="400"/>
        <w:jc w:val="center"/>
      </w:pPr>
      <w:r>
        <w:rPr>
          <w:rFonts w:ascii="Arial" w:cs="Arial" w:eastAsia="Arial" w:hAnsi="Arial"/>
          <w:b/>
          <w:bCs/>
          <w:sz w:val="32"/>
          <w:szCs w:val="32"/>
        </w:rPr>
        <w:t xml:space="preserve">ТИПОВАЯ МЕТОДИКА
 по мониторингу и оценке деятельности Фондов развития регионов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Понятия, применяемые в настоящей Типовой методике: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индикатор</w:t>
      </w:r>
      <w:r>
        <w:rPr>
          <w:rFonts w:ascii="Arial" w:cs="Arial" w:eastAsia="Arial" w:hAnsi="Arial"/>
          <w:sz w:val="24"/>
          <w:szCs w:val="24"/>
        </w:rPr>
        <w:t xml:space="preserve"> - показатель, характеризующий степень достижения какого-либо результата или воздействия;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мониторинг</w:t>
      </w:r>
      <w:r>
        <w:rPr>
          <w:rFonts w:ascii="Arial" w:cs="Arial" w:eastAsia="Arial" w:hAnsi="Arial"/>
          <w:sz w:val="24"/>
          <w:szCs w:val="24"/>
        </w:rPr>
        <w:t xml:space="preserve"> - регулярный процесс сбора и анализа информации для отслеживания хода выполнения намеченных планов и проверки соответствия фактических действий/результатов установленным стандартам или нормативам;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эффективности, воздействия и устойчивости явлений или показателей с течением времени.</w:t>
      </w:r>
    </w:p>
    <w:p>
      <w:pPr>
        <w:spacing w:after="60"/>
        <w:ind w:firstLine="567"/>
        <w:jc w:val="both"/>
      </w:pPr>
      <w:r>
        <w:rPr>
          <w:rFonts w:ascii="Arial" w:cs="Arial" w:eastAsia="Arial" w:hAnsi="Arial"/>
          <w:sz w:val="24"/>
          <w:szCs w:val="24"/>
        </w:rPr>
        <w:t xml:space="preserve">2. Целью Типовой методики является оказание помощи Дирекциям Фондов и Наблюдательным советам Фондов в проведении эффективного мониторинга и оценки деятельности организации и реализованных проектов. Типовая методика также обеспечит выполнение Фондами требования по мониторингу и оценке (далее - МиО), указанного в Типовом положении.</w:t>
      </w:r>
    </w:p>
    <w:p>
      <w:pPr>
        <w:spacing w:after="60"/>
        <w:ind w:firstLine="567"/>
        <w:jc w:val="both"/>
      </w:pPr>
      <w:r>
        <w:rPr>
          <w:rFonts w:ascii="Arial" w:cs="Arial" w:eastAsia="Arial" w:hAnsi="Arial"/>
          <w:sz w:val="24"/>
          <w:szCs w:val="24"/>
        </w:rPr>
        <w:t xml:space="preserve">3. По итогам МиО Дирекция Фонда, на ежегодной основе не позднее 1 апреля года, следующего за отчетным годом,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w:t>
      </w:r>
    </w:p>
    <w:p>
      <w:pPr>
        <w:spacing w:after="200" w:before="200"/>
        <w:jc w:val="center"/>
      </w:pPr>
      <w:r>
        <w:rPr>
          <w:rFonts w:ascii="Arial" w:cs="Arial" w:eastAsia="Arial" w:hAnsi="Arial"/>
          <w:b/>
          <w:bCs/>
          <w:sz w:val="32"/>
          <w:szCs w:val="32"/>
        </w:rPr>
        <w:t xml:space="preserve">Глава 2. Организация системы мониторинга и оценки</w:t>
      </w:r>
    </w:p>
    <w:p>
      <w:pPr>
        <w:spacing w:after="60"/>
        <w:ind w:firstLine="567"/>
        <w:jc w:val="both"/>
      </w:pPr>
      <w:r>
        <w:rPr>
          <w:rFonts w:ascii="Arial" w:cs="Arial" w:eastAsia="Arial" w:hAnsi="Arial"/>
          <w:sz w:val="24"/>
          <w:szCs w:val="24"/>
        </w:rPr>
        <w:t xml:space="preserve">4. Дирекция Фонда на основе Типовой методики разрабатывает собственную методику проведения мониторинга и оценки, которая утверждается решением Наблюдательного совета Фонда. По представлению дирекции Фонда Наблюдательный совет Фонда утверждает состав мониторинговой группы Фонда. Рекомендуемый состав мониторинговой группы:</w:t>
      </w:r>
    </w:p>
    <w:p>
      <w:pPr>
        <w:spacing w:after="60"/>
        <w:ind w:firstLine="567"/>
        <w:jc w:val="both"/>
      </w:pPr>
      <w:r>
        <w:rPr>
          <w:rFonts w:ascii="Arial" w:cs="Arial" w:eastAsia="Arial" w:hAnsi="Arial"/>
          <w:sz w:val="24"/>
          <w:szCs w:val="24"/>
        </w:rPr>
        <w:t xml:space="preserve">1) представитель Наблюдательного совета Фонда, назначенный руководителем мониторинговой группы решением Наблюдательного совета Фонда;</w:t>
      </w:r>
    </w:p>
    <w:p>
      <w:pPr>
        <w:spacing w:after="60"/>
        <w:ind w:firstLine="567"/>
        <w:jc w:val="both"/>
      </w:pPr>
      <w:r>
        <w:rPr>
          <w:rFonts w:ascii="Arial" w:cs="Arial" w:eastAsia="Arial" w:hAnsi="Arial"/>
          <w:sz w:val="24"/>
          <w:szCs w:val="24"/>
        </w:rPr>
        <w:t xml:space="preserve">2) представитель учредителя Фонда;</w:t>
      </w:r>
    </w:p>
    <w:p>
      <w:pPr>
        <w:spacing w:after="60"/>
        <w:ind w:firstLine="567"/>
        <w:jc w:val="both"/>
      </w:pPr>
      <w:r>
        <w:rPr>
          <w:rFonts w:ascii="Arial" w:cs="Arial" w:eastAsia="Arial" w:hAnsi="Arial"/>
          <w:sz w:val="24"/>
          <w:szCs w:val="24"/>
        </w:rPr>
        <w:t xml:space="preserve">3) представитель Наблюдательного совета Фонда, делегированный в состав мониторинговой группы решением Наблюдательного совета Фонда, представляющий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4) представитель Наблюдательного совета Фонда, делегированный в состав мониторинговой группы решением Наблюдательного совета Фонда, представляющий коммерческие, или некоммерческие организации;</w:t>
      </w:r>
    </w:p>
    <w:p>
      <w:pPr>
        <w:spacing w:after="60"/>
        <w:ind w:firstLine="567"/>
        <w:jc w:val="both"/>
      </w:pPr>
      <w:r>
        <w:rPr>
          <w:rFonts w:ascii="Arial" w:cs="Arial" w:eastAsia="Arial" w:hAnsi="Arial"/>
          <w:sz w:val="24"/>
          <w:szCs w:val="24"/>
        </w:rPr>
        <w:t xml:space="preserve">5) представитель дирекции Фонда, делегированный в состав мониторинговой группы распоряжением исполнительного директора Фонда.</w:t>
      </w:r>
    </w:p>
    <w:p>
      <w:pPr>
        <w:spacing w:after="60"/>
        <w:ind w:firstLine="567"/>
        <w:jc w:val="both"/>
      </w:pPr>
      <w:r>
        <w:rPr>
          <w:rFonts w:ascii="Arial" w:cs="Arial" w:eastAsia="Arial" w:hAnsi="Arial"/>
          <w:sz w:val="24"/>
          <w:szCs w:val="24"/>
        </w:rPr>
        <w:t xml:space="preserve">5.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6. Руководитель мониторинговой группы распределяет поручения членам мониторинговой группы по сбору и анализу индикаторов мониторинга и оценки.</w:t>
      </w:r>
    </w:p>
    <w:p>
      <w:pPr>
        <w:spacing w:after="60"/>
        <w:ind w:firstLine="567"/>
        <w:jc w:val="both"/>
      </w:pPr>
      <w:r>
        <w:rPr>
          <w:rFonts w:ascii="Arial" w:cs="Arial" w:eastAsia="Arial" w:hAnsi="Arial"/>
          <w:sz w:val="24"/>
          <w:szCs w:val="24"/>
        </w:rPr>
        <w:t xml:space="preserve">7. Мониторинговая группа в срок до 31 декабря разрабатывает план проведения мониторинга и оценки на следующий год.</w:t>
      </w:r>
    </w:p>
    <w:p>
      <w:pPr>
        <w:spacing w:after="60"/>
        <w:ind w:firstLine="567"/>
        <w:jc w:val="both"/>
      </w:pPr>
      <w:r>
        <w:rPr>
          <w:rFonts w:ascii="Arial" w:cs="Arial" w:eastAsia="Arial" w:hAnsi="Arial"/>
          <w:sz w:val="24"/>
          <w:szCs w:val="24"/>
        </w:rPr>
        <w:t xml:space="preserve">8. План мониторинга утверждает исполнительный директор Фонда. Форма плана мониторинга и оценки представлена в приложении 1 к настоящей Типовой методике.</w:t>
      </w:r>
    </w:p>
    <w:p>
      <w:pPr>
        <w:spacing w:after="200" w:before="200"/>
        <w:jc w:val="center"/>
      </w:pPr>
      <w:r>
        <w:rPr>
          <w:rFonts w:ascii="Arial" w:cs="Arial" w:eastAsia="Arial" w:hAnsi="Arial"/>
          <w:b/>
          <w:bCs/>
          <w:sz w:val="32"/>
          <w:szCs w:val="32"/>
        </w:rPr>
        <w:t xml:space="preserve">Глава 3. Цели и виды мониторинга и оценки</w:t>
      </w:r>
    </w:p>
    <w:p>
      <w:pPr>
        <w:spacing w:after="60"/>
        <w:ind w:firstLine="567"/>
        <w:jc w:val="both"/>
      </w:pPr>
      <w:r>
        <w:rPr>
          <w:rFonts w:ascii="Arial" w:cs="Arial" w:eastAsia="Arial" w:hAnsi="Arial"/>
          <w:sz w:val="24"/>
          <w:szCs w:val="24"/>
        </w:rPr>
        <w:t xml:space="preserve">9. Целью мониторинга и оценки является - отслеживание и дача оценки деятельности Фондов и реализованным проектам в режиме реального времени, на предмет достижения поставленных целей в рамках выделенных финансовых средств.</w:t>
      </w:r>
    </w:p>
    <w:p>
      <w:pPr>
        <w:spacing w:after="60"/>
        <w:ind w:firstLine="567"/>
        <w:jc w:val="both"/>
      </w:pPr>
      <w:r>
        <w:rPr>
          <w:rFonts w:ascii="Arial" w:cs="Arial" w:eastAsia="Arial" w:hAnsi="Arial"/>
          <w:sz w:val="24"/>
          <w:szCs w:val="24"/>
        </w:rPr>
        <w:t xml:space="preserve">10. Основное предназначение мониторинга и оценки - давать информацию о принятии управленческих решений. Информация должна быть достаточной, достоверной, своевременной, надежной.</w:t>
      </w:r>
    </w:p>
    <w:p>
      <w:pPr>
        <w:spacing w:after="60"/>
        <w:ind w:firstLine="567"/>
        <w:jc w:val="both"/>
      </w:pPr>
      <w:r>
        <w:rPr>
          <w:rFonts w:ascii="Arial" w:cs="Arial" w:eastAsia="Arial" w:hAnsi="Arial"/>
          <w:sz w:val="24"/>
          <w:szCs w:val="24"/>
        </w:rPr>
        <w:t xml:space="preserve">11. Мониторинг отвечает на вопрос "что произошло?", и "какие отклонения выявлены по сравнению с первоначальным или намеченным (без анализа ситуации)?".</w:t>
      </w:r>
    </w:p>
    <w:p>
      <w:pPr>
        <w:spacing w:after="60"/>
        <w:ind w:firstLine="567"/>
        <w:jc w:val="both"/>
      </w:pPr>
      <w:r>
        <w:rPr>
          <w:rFonts w:ascii="Arial" w:cs="Arial" w:eastAsia="Arial" w:hAnsi="Arial"/>
          <w:sz w:val="24"/>
          <w:szCs w:val="24"/>
        </w:rPr>
        <w:t xml:space="preserve">Оценка отвечает на вопрос "как были достигнуты результаты?", "почему произошли отклонения?" и "как можно исправить ошибки (с анализом ситуации)?".</w:t>
      </w:r>
    </w:p>
    <w:p>
      <w:pPr>
        <w:spacing w:after="60"/>
        <w:ind w:firstLine="567"/>
        <w:jc w:val="both"/>
      </w:pPr>
      <w:r>
        <w:rPr>
          <w:rFonts w:ascii="Arial" w:cs="Arial" w:eastAsia="Arial" w:hAnsi="Arial"/>
          <w:sz w:val="24"/>
          <w:szCs w:val="24"/>
        </w:rPr>
        <w:t xml:space="preserve">12. В соответствии с требованиями Типового положения (глава 7 Типового положения) определены следующие виды МиО:</w:t>
      </w:r>
    </w:p>
    <w:p>
      <w:pPr>
        <w:spacing w:after="60"/>
        <w:ind w:firstLine="567"/>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3) оценка эффективности выполнения проектов;</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 Определены типовые этапы подготовки системы МиО (см. диаграмму 1).</w:t>
      </w:r>
    </w:p>
    <w:p>
      <w:pPr>
        <w:spacing w:after="120" w:before="200"/>
        <w:ind w:firstLine="567"/>
        <w:jc w:val="left"/>
      </w:pPr>
      <w:r>
        <w:rPr>
          <w:rFonts w:ascii="Arial" w:cs="Arial" w:eastAsia="Arial" w:hAnsi="Arial"/>
          <w:b/>
          <w:bCs/>
          <w:sz w:val="24"/>
          <w:szCs w:val="24"/>
        </w:rPr>
        <w:t xml:space="preserve">Диаграмма 1. Этапы подготовки системы МиО</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14. Индикатор служит средством измерения каких-либо достижений. Он отражает изменения, происходящие в результате работы Фонда, или при реализации проекта. Индикатор позволяет ответить на вопрос, насколько достигнута цель, то есть сравнивает реальные результаты с запланированными.</w:t>
      </w:r>
    </w:p>
    <w:p>
      <w:pPr>
        <w:spacing w:after="60"/>
        <w:ind w:firstLine="567"/>
        <w:jc w:val="both"/>
      </w:pPr>
      <w:r>
        <w:rPr>
          <w:rFonts w:ascii="Arial" w:cs="Arial" w:eastAsia="Arial" w:hAnsi="Arial"/>
          <w:sz w:val="24"/>
          <w:szCs w:val="24"/>
        </w:rPr>
        <w:t xml:space="preserve">15. Для формирования системы МиО рекомендуется использовать следующие типы индикаторов:</w:t>
      </w:r>
    </w:p>
    <w:p>
      <w:pPr>
        <w:spacing w:after="60"/>
        <w:ind w:firstLine="567"/>
        <w:jc w:val="both"/>
      </w:pPr>
      <w:r>
        <w:rPr>
          <w:rFonts w:ascii="Arial" w:cs="Arial" w:eastAsia="Arial" w:hAnsi="Arial"/>
          <w:sz w:val="24"/>
          <w:szCs w:val="24"/>
        </w:rPr>
        <w:t xml:space="preserve">- индикаторы процесса - отражают информацию о том, как выполняются определенные действия, отраженные в плане по времени и по факту исполнения;</w:t>
      </w:r>
    </w:p>
    <w:p>
      <w:pPr>
        <w:spacing w:after="60"/>
        <w:ind w:firstLine="567"/>
        <w:jc w:val="both"/>
      </w:pPr>
      <w:r>
        <w:rPr>
          <w:rFonts w:ascii="Arial" w:cs="Arial" w:eastAsia="Arial" w:hAnsi="Arial"/>
          <w:sz w:val="24"/>
          <w:szCs w:val="24"/>
        </w:rPr>
        <w:t xml:space="preserve">- индикаторы результатов - отражают информацию о достижении результата по завершению действия, или на его промежуточном этапе;</w:t>
      </w:r>
    </w:p>
    <w:p>
      <w:pPr>
        <w:spacing w:after="60"/>
        <w:ind w:firstLine="567"/>
        <w:jc w:val="both"/>
      </w:pPr>
      <w:r>
        <w:rPr>
          <w:rFonts w:ascii="Arial" w:cs="Arial" w:eastAsia="Arial" w:hAnsi="Arial"/>
          <w:sz w:val="24"/>
          <w:szCs w:val="24"/>
        </w:rPr>
        <w:t xml:space="preserve">- индикаторы воздействия - показывают влияние, которое оказано на определенный объект в результате деятельности субъекта, или реализации какого-либо проекта.</w:t>
      </w:r>
    </w:p>
    <w:p>
      <w:pPr>
        <w:spacing w:after="60"/>
        <w:ind w:firstLine="567"/>
        <w:jc w:val="both"/>
      </w:pPr>
      <w:r>
        <w:rPr>
          <w:rFonts w:ascii="Arial" w:cs="Arial" w:eastAsia="Arial" w:hAnsi="Arial"/>
          <w:sz w:val="24"/>
          <w:szCs w:val="24"/>
        </w:rPr>
        <w:t xml:space="preserve">16. В рамках настоящей Типовой методики также будут применяться количественные и качественные индикаторы:</w:t>
      </w:r>
    </w:p>
    <w:p>
      <w:pPr>
        <w:spacing w:after="60"/>
        <w:ind w:firstLine="567"/>
        <w:jc w:val="both"/>
      </w:pPr>
      <w:r>
        <w:rPr>
          <w:rFonts w:ascii="Arial" w:cs="Arial" w:eastAsia="Arial" w:hAnsi="Arial"/>
          <w:sz w:val="24"/>
          <w:szCs w:val="24"/>
        </w:rPr>
        <w:t xml:space="preserve">- количественные индикаторы - индикаторы, которые применяются для мониторинга и оценки количественных характеристик, например: объем выделенных средств, число проектов, объем задолженностей;</w:t>
      </w:r>
    </w:p>
    <w:p>
      <w:pPr>
        <w:spacing w:after="60"/>
        <w:ind w:firstLine="567"/>
        <w:jc w:val="both"/>
      </w:pPr>
      <w:r>
        <w:rPr>
          <w:rFonts w:ascii="Arial" w:cs="Arial" w:eastAsia="Arial" w:hAnsi="Arial"/>
          <w:sz w:val="24"/>
          <w:szCs w:val="24"/>
        </w:rPr>
        <w:t xml:space="preserve">- качественные индикаторы - отражают качественные характеристики, например в виде: степени удовлетворенности, восприятия, отношения к чему-либо.</w:t>
      </w:r>
    </w:p>
    <w:p>
      <w:pPr>
        <w:spacing w:after="60"/>
        <w:ind w:firstLine="567"/>
        <w:jc w:val="both"/>
      </w:pPr>
      <w:r>
        <w:rPr>
          <w:rFonts w:ascii="Arial" w:cs="Arial" w:eastAsia="Arial" w:hAnsi="Arial"/>
          <w:sz w:val="24"/>
          <w:szCs w:val="24"/>
        </w:rPr>
        <w:t xml:space="preserve">17. Каждый индикатор оценивается в сравнении с плановым показателем. Значение планового показателя приравнивается к 100%. Индикатор оценивается как соотношение фактического к плановому показателю. Наименование индикаторов и их плановые значения являются едиными для всех Фондов.</w:t>
      </w:r>
    </w:p>
    <w:p>
      <w:pPr>
        <w:spacing w:after="60"/>
        <w:ind w:firstLine="567"/>
        <w:jc w:val="both"/>
      </w:pPr>
      <w:r>
        <w:rPr>
          <w:rFonts w:ascii="Arial" w:cs="Arial" w:eastAsia="Arial" w:hAnsi="Arial"/>
          <w:sz w:val="24"/>
          <w:szCs w:val="24"/>
        </w:rPr>
        <w:t xml:space="preserve">18. По каждой группе индикаторов рассчитывается среднее значение. В таблице 1 приведен пример проведения оценки индикаторов.</w:t>
      </w:r>
    </w:p>
    <w:p>
      <w:pPr>
        <w:spacing w:after="120" w:before="200"/>
        <w:ind w:firstLine="567"/>
        <w:jc w:val="left"/>
      </w:pPr>
      <w:r>
        <w:rPr>
          <w:rFonts w:ascii="Arial" w:cs="Arial" w:eastAsia="Arial" w:hAnsi="Arial"/>
          <w:b/>
          <w:bCs/>
          <w:sz w:val="24"/>
          <w:szCs w:val="24"/>
        </w:rPr>
        <w:t xml:space="preserve">Таблица 1.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9"/>
        <w:gridCol w:w="2359"/>
        <w:gridCol w:w="2257"/>
        <w:gridCol w:w="222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26% от общего числа проектов проводился мониторинг</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26/20*100%=130%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 опубликование и обновление информации о работе Фонда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раз в год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обновление</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¼*100=25%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(130%+25%)/2=78%</w:t>
            </w:r>
          </w:p>
        </w:tc>
      </w:tr>
    </w:tbl>
    <w:p>
      <w:pPr>
        <w:spacing w:after="60" w:before="120"/>
        <w:ind w:firstLine="567"/>
        <w:jc w:val="both"/>
      </w:pPr>
      <w:r>
        <w:rPr>
          <w:rFonts w:ascii="Arial" w:cs="Arial" w:eastAsia="Arial" w:hAnsi="Arial"/>
          <w:sz w:val="24"/>
          <w:szCs w:val="24"/>
        </w:rPr>
        <w:t xml:space="preserve">(*) Пример.</w:t>
      </w:r>
    </w:p>
    <w:p>
      <w:pPr>
        <w:spacing w:after="60" w:before="200"/>
        <w:ind w:firstLine="567"/>
        <w:jc w:val="left"/>
      </w:pPr>
      <w:r>
        <w:rPr>
          <w:rFonts w:ascii="Arial" w:cs="Arial" w:eastAsia="Arial" w:hAnsi="Arial"/>
          <w:b/>
          <w:bCs/>
          <w:sz w:val="24"/>
          <w:szCs w:val="24"/>
        </w:rPr>
        <w:t xml:space="preserve">3.1.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19. Индикаторы оценивают соответствие процедур по приему, оценке, утверждению, финансированию проектов подаваемых заявителями в адрес Фонда, процедурам, указанным в Типовом положении.</w:t>
      </w:r>
    </w:p>
    <w:p>
      <w:pPr>
        <w:spacing w:after="60"/>
        <w:ind w:firstLine="567"/>
        <w:jc w:val="both"/>
      </w:pPr>
      <w:r>
        <w:rPr>
          <w:rFonts w:ascii="Arial" w:cs="Arial" w:eastAsia="Arial" w:hAnsi="Arial"/>
          <w:sz w:val="24"/>
          <w:szCs w:val="24"/>
        </w:rPr>
        <w:t xml:space="preserve">20. Перечень индикаторов, описывающих соблюдение процедур со стороны Фонда, с указанием числовых значений, методов оценки, источников информации, периодичностью оценки представлен в таблице 2.</w:t>
      </w:r>
    </w:p>
    <w:p>
      <w:pPr>
        <w:spacing w:after="60"/>
        <w:ind w:firstLine="567"/>
        <w:jc w:val="both"/>
      </w:pPr>
      <w:r>
        <w:rPr>
          <w:rFonts w:ascii="Arial" w:cs="Arial" w:eastAsia="Arial" w:hAnsi="Arial"/>
          <w:sz w:val="24"/>
          <w:szCs w:val="24"/>
        </w:rPr>
        <w:t xml:space="preserve">21. По каждой группе индикаторов рассчитывается среднее значение.</w:t>
      </w:r>
    </w:p>
    <w:p>
      <w:pPr>
        <w:spacing w:after="120" w:before="200"/>
        <w:ind w:firstLine="567"/>
        <w:jc w:val="left"/>
      </w:pPr>
      <w:r>
        <w:rPr>
          <w:rFonts w:ascii="Arial" w:cs="Arial" w:eastAsia="Arial" w:hAnsi="Arial"/>
          <w:b/>
          <w:bCs/>
          <w:sz w:val="24"/>
          <w:szCs w:val="24"/>
        </w:rPr>
        <w:t xml:space="preserve">Таблица 2.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565"/>
        <w:gridCol w:w="2124"/>
        <w:gridCol w:w="2459"/>
        <w:gridCol w:w="172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проведенных мониторинговых визитов от планового значения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составе Наблюдательного совета Фонда представителей коммерческих и некоммерческих организаций</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от числа членов Наблюдательного совета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представителей коммерческого и некоммерческого сектора в составе Наблюдательного совета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органов МСУ и государственных органов деятельностью Фонда (Методика проведения МиО качественных индикаторов приведена в приложении 2 к настоящей Типовой методике)</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опрошенных оценили работу Фонда на оценку "отлично", "хорошо"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опрошенных, которые оценили работу Фонда на оценку "отлично", "хорошо"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22.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w:t>
      </w:r>
    </w:p>
    <w:p>
      <w:pPr>
        <w:spacing w:after="60"/>
        <w:ind w:firstLine="567"/>
        <w:jc w:val="both"/>
      </w:pPr>
      <w:r>
        <w:rPr>
          <w:rFonts w:ascii="Arial" w:cs="Arial" w:eastAsia="Arial" w:hAnsi="Arial"/>
          <w:sz w:val="24"/>
          <w:szCs w:val="24"/>
        </w:rPr>
        <w:t xml:space="preserve">23. Перечень индикаторов, описывающих целевое использование финансовых средств представлен в таблице 3.</w:t>
      </w:r>
    </w:p>
    <w:p>
      <w:pPr>
        <w:spacing w:after="120" w:before="200"/>
        <w:ind w:firstLine="567"/>
        <w:jc w:val="left"/>
      </w:pPr>
      <w:r>
        <w:rPr>
          <w:rFonts w:ascii="Arial" w:cs="Arial" w:eastAsia="Arial" w:hAnsi="Arial"/>
          <w:b/>
          <w:bCs/>
          <w:sz w:val="24"/>
          <w:szCs w:val="24"/>
        </w:rPr>
        <w:t xml:space="preserve">Таблица 3. Перечень индикаторов соблюдения целевого использования финансовых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616"/>
        <w:gridCol w:w="2295"/>
        <w:gridCol w:w="2254"/>
        <w:gridCol w:w="171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соотношения между объемом финансирования по экономическим проектам по отношению к общему объему финансирования (показывает, как Фонд выполняет свои решения по финансированию экономических проектов)</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выделенный решением Наблюдательного совета на экономические проекты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объема финансирования по экономическим проектам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фактическая смета соответствует плановой смете (фактические статьи расходов по смете должны соответствовать плановым расходам по смете)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проектов с согласованной сметой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реализованных проектов от общего числа проектов, в которых есть отклонения от сметы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3.3. Оценка эффективности выполнения проектов</w:t>
      </w:r>
    </w:p>
    <w:p>
      <w:pPr>
        <w:spacing w:after="60"/>
        <w:ind w:firstLine="567"/>
        <w:jc w:val="both"/>
      </w:pPr>
      <w:r>
        <w:rPr>
          <w:rFonts w:ascii="Arial" w:cs="Arial" w:eastAsia="Arial" w:hAnsi="Arial"/>
          <w:sz w:val="24"/>
          <w:szCs w:val="24"/>
        </w:rPr>
        <w:t xml:space="preserve">24. Индикаторы оценивают достижение целей и задач завершенных проектов в рамках утвержденных бюджетов.</w:t>
      </w:r>
    </w:p>
    <w:p>
      <w:pPr>
        <w:spacing w:after="60"/>
        <w:ind w:firstLine="567"/>
        <w:jc w:val="both"/>
      </w:pPr>
      <w:r>
        <w:rPr>
          <w:rFonts w:ascii="Arial" w:cs="Arial" w:eastAsia="Arial" w:hAnsi="Arial"/>
          <w:sz w:val="24"/>
          <w:szCs w:val="24"/>
        </w:rPr>
        <w:t xml:space="preserve">25. Индикаторы оценки эффективности выполнения проектов представлены в таблице 4.</w:t>
      </w:r>
    </w:p>
    <w:p>
      <w:pPr>
        <w:spacing w:after="120" w:before="200"/>
        <w:ind w:firstLine="567"/>
        <w:jc w:val="left"/>
      </w:pPr>
      <w:r>
        <w:rPr>
          <w:rFonts w:ascii="Arial" w:cs="Arial" w:eastAsia="Arial" w:hAnsi="Arial"/>
          <w:b/>
          <w:bCs/>
          <w:sz w:val="24"/>
          <w:szCs w:val="24"/>
        </w:rPr>
        <w:t xml:space="preserve">Таблица 4. Индикаторы эффективности выполнения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07"/>
        <w:gridCol w:w="2288"/>
        <w:gridCol w:w="1810"/>
        <w:gridCol w:w="196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завершенных проектов (для инфраструктурных проектов завершением является наличие акта ввода объекта в эксплуатацию, для техники, оборудования включение в реестр муниципального имущества)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решением Наблюдательного совета Фонда проектов на текущий год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фактически завершенных проектов</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которые достигли всех запланированных индикаторов</w:t>
            </w:r>
          </w:p>
          <w:p>
            <w:pPr>
              <w:jc w:val="left"/>
            </w:pPr>
            <w:r>
              <w:rPr>
                <w:rFonts w:ascii="Arial" w:cs="Arial" w:eastAsia="Arial" w:hAnsi="Arial"/>
                <w:sz w:val="24"/>
                <w:szCs w:val="24"/>
              </w:rPr>
              <w:t xml:space="preserve">(пример: в проекте "Организация секции по футболу" указано, что будет создано 2 рабочих места и 25 детей будет заниматься футболом. Фактически создано 3 рабочих места и занимается 30 детей. Проект достиг своей цели)</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всех реализованных проектов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в которых достигнуты заявленные цели, индикаторы</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конечных потребителей результатами реализованных проектов.</w:t>
            </w:r>
          </w:p>
          <w:p>
            <w:pPr>
              <w:jc w:val="left"/>
            </w:pPr>
            <w:r>
              <w:rPr>
                <w:rFonts w:ascii="Arial" w:cs="Arial" w:eastAsia="Arial" w:hAnsi="Arial"/>
                <w:sz w:val="24"/>
                <w:szCs w:val="24"/>
              </w:rPr>
              <w:t xml:space="preserve">(Методика проведения МиО качественных индикаторов приведена в приложении 2 к настоящей Типовой методике)</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не ниже 3,5 балла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оценка по итогам анкетирования</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3.4. Соблюдение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26. Индикаторы оценивают дисциплину, ответственность Фондов и исполнителей проектов в отношении соблюдения норм бюджетного законодательства, в том числе процедур государственных закупок.</w:t>
      </w:r>
    </w:p>
    <w:p>
      <w:pPr>
        <w:spacing w:after="120" w:before="200"/>
        <w:ind w:firstLine="567"/>
        <w:jc w:val="left"/>
      </w:pPr>
      <w:r>
        <w:rPr>
          <w:rFonts w:ascii="Arial" w:cs="Arial" w:eastAsia="Arial" w:hAnsi="Arial"/>
          <w:b/>
          <w:bCs/>
          <w:sz w:val="24"/>
          <w:szCs w:val="24"/>
        </w:rPr>
        <w:t xml:space="preserve">Таблица 5. Индикаторы соблюдения процедур и норм бюджетного законодательства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366"/>
        <w:gridCol w:w="2019"/>
        <w:gridCol w:w="2754"/>
        <w:gridCol w:w="173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в которых не выявлено финансовых нарушений по итогам аудита Счетной палаты и другими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общее число реализованных проектов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есть замечания Счетной палаты и других проверяющих органов</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не выявлено нарушений по государственным закупкам, самостоятельно осуществляемых Фондом по итогам проверки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закупки осуществлялись самим Фондом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по которым выявлены нарушения со стороны проверяющих органов по отношению к числу проектов, по которым Фонд проводил закупки (%)</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Глава 4. Статистическая информация о деятельности Фонда</w:t>
      </w:r>
    </w:p>
    <w:p>
      <w:pPr>
        <w:spacing w:after="60"/>
        <w:ind w:firstLine="567"/>
        <w:jc w:val="both"/>
      </w:pPr>
      <w:r>
        <w:rPr>
          <w:rFonts w:ascii="Arial" w:cs="Arial" w:eastAsia="Arial" w:hAnsi="Arial"/>
          <w:sz w:val="24"/>
          <w:szCs w:val="24"/>
        </w:rPr>
        <w:t xml:space="preserve">27. Дирекция Фонда не менее 1 раза в год, не позднее 1 апреля года, следующего за отчетным годом, представляет в уполномоченный государственный орган по экономическому прогнозированию статистическую информацию о деятельности Фонда.</w:t>
      </w:r>
    </w:p>
    <w:p>
      <w:pPr>
        <w:spacing w:after="60"/>
        <w:ind w:firstLine="567"/>
        <w:jc w:val="both"/>
      </w:pPr>
      <w:r>
        <w:rPr>
          <w:rFonts w:ascii="Arial" w:cs="Arial" w:eastAsia="Arial" w:hAnsi="Arial"/>
          <w:sz w:val="24"/>
          <w:szCs w:val="24"/>
        </w:rPr>
        <w:t xml:space="preserve">Перечень статистической информации представлен в приложении 3 к настоящей Типовой методике.</w:t>
      </w:r>
    </w:p>
    <w:p>
      <w:pPr>
        <w:spacing w:after="200" w:before="200"/>
        <w:jc w:val="center"/>
      </w:pPr>
      <w:r>
        <w:rPr>
          <w:rFonts w:ascii="Arial" w:cs="Arial" w:eastAsia="Arial" w:hAnsi="Arial"/>
          <w:b/>
          <w:bCs/>
          <w:sz w:val="32"/>
          <w:szCs w:val="32"/>
        </w:rPr>
        <w:t xml:space="preserve">Глава 5. Отчеты по результатам мониторинга и оценки</w:t>
      </w:r>
    </w:p>
    <w:p>
      <w:pPr>
        <w:spacing w:after="60"/>
        <w:ind w:firstLine="567"/>
        <w:jc w:val="both"/>
      </w:pPr>
      <w:r>
        <w:rPr>
          <w:rFonts w:ascii="Arial" w:cs="Arial" w:eastAsia="Arial" w:hAnsi="Arial"/>
          <w:sz w:val="24"/>
          <w:szCs w:val="24"/>
        </w:rPr>
        <w:t xml:space="preserve">28. Результаты мониторинга оформляются в виде отчета, где отражаются результаты мониторинга и рекомендации по устранению отклонений.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Отчет Фонда по результатам мониторинга и оценки на ежегодной основе, не позднее 1 апреля года, следующего за отчетным годом, направляется в уполномоченный государственный орган по экономическому прогнозированию, а также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Рекомендуемый формат отчета представлен в приложении 4 к настоящей Типовой методике.</w:t>
      </w:r>
    </w:p>
    <w:p>
      <w:pPr>
        <w:spacing w:after="60"/>
        <w:ind w:firstLine="567"/>
        <w:jc w:val="both"/>
      </w:pPr>
      <w:r>
        <w:rPr>
          <w:rFonts w:ascii="Arial" w:cs="Arial" w:eastAsia="Arial" w:hAnsi="Arial"/>
          <w:sz w:val="24"/>
          <w:szCs w:val="24"/>
        </w:rPr>
        <w:t xml:space="preserve">Для визуализации результатов мониторинга и оценки рекомендуется использовать "лепестковую диаграмму" на основе Excel программы.</w:t>
      </w:r>
    </w:p>
    <w:p>
      <w:pPr>
        <w:spacing w:after="120" w:before="200"/>
        <w:ind w:firstLine="567"/>
        <w:jc w:val="left"/>
      </w:pPr>
      <w:r>
        <w:rPr>
          <w:rFonts w:ascii="Arial" w:cs="Arial" w:eastAsia="Arial" w:hAnsi="Arial"/>
          <w:b/>
          <w:bCs/>
          <w:sz w:val="24"/>
          <w:szCs w:val="24"/>
        </w:rPr>
        <w:t xml:space="preserve">Таблица 6. Результаты мониторинга и оценки(*)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9"/>
        <w:gridCol w:w="2829"/>
      </w:tblGrid>
      <w:tr>
        <w:tc>
          <w:tcPr>
            <w:tcW w:type="dxa" w:w="7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группы индикаторов</w:t>
            </w:r>
          </w:p>
        </w:tc>
        <w:tc>
          <w:tcPr>
            <w:tcW w:type="dxa" w:w="2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оценка индикаторов</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деятельности Фонда установленным правилам и процедурам</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Соблюдение целевого использования финансовых средств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выполнения проектов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Соблюдения процедур и норм бюджетного законодательства Кыргызской Республики</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Пример.</w:t>
      </w:r>
    </w:p>
    <w:p>
      <w:pPr>
        <w:spacing w:after="60"/>
        <w:ind w:firstLine="567"/>
        <w:jc w:val="both"/>
      </w:pPr>
      <w:r>
        <w:rPr>
          <w:rFonts w:ascii="Arial" w:cs="Arial" w:eastAsia="Arial" w:hAnsi="Arial"/>
          <w:i/>
          <w:iCs/>
          <w:sz w:val="24"/>
          <w:szCs w:val="24"/>
        </w:rPr>
        <w:t xml:space="preserve">См. графическую копию рисунка.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методике</w:t>
      </w:r>
    </w:p>
    <w:p>
      <w:pPr>
        <w:spacing w:after="400" w:before="400"/>
        <w:jc w:val="center"/>
      </w:pPr>
      <w:r>
        <w:rPr>
          <w:rFonts w:ascii="Arial" w:cs="Arial" w:eastAsia="Arial" w:hAnsi="Arial"/>
          <w:b/>
          <w:bCs/>
          <w:sz w:val="32"/>
          <w:szCs w:val="32"/>
        </w:rPr>
        <w:t xml:space="preserve">ПЛАН
 мониторинга и оценки деятельности Фонда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0"/>
        <w:gridCol w:w="1405"/>
        <w:gridCol w:w="1561"/>
        <w:gridCol w:w="794"/>
        <w:gridCol w:w="1476"/>
        <w:gridCol w:w="1555"/>
        <w:gridCol w:w="139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Плановый показатель</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показатель</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МиО</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проведения МиО</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лицо</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Соответствие деятельности Фонда установленным правилам и процедурам</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Соблюдение целевого использования финансовых средств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Оценка эффективности выполнения проектов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Соблюдение процедур и норм бюджетного законодательства Кыргызской Республики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методике</w:t>
      </w:r>
    </w:p>
    <w:p>
      <w:pPr>
        <w:spacing w:after="400" w:before="400"/>
        <w:jc w:val="center"/>
      </w:pPr>
      <w:r>
        <w:rPr>
          <w:rFonts w:ascii="Arial" w:cs="Arial" w:eastAsia="Arial" w:hAnsi="Arial"/>
          <w:b/>
          <w:bCs/>
          <w:sz w:val="32"/>
          <w:szCs w:val="32"/>
        </w:rPr>
        <w:t xml:space="preserve">МЕТОДИКА
 проведения мониторинга и оценки качественных индикаторов оценки эффективности деятельности Фондов развития регионов</w:t>
      </w:r>
    </w:p>
    <w:p>
      <w:pPr>
        <w:spacing w:after="60"/>
        <w:ind w:firstLine="567"/>
        <w:jc w:val="both"/>
      </w:pPr>
      <w:r>
        <w:rPr>
          <w:rFonts w:ascii="Arial" w:cs="Arial" w:eastAsia="Arial" w:hAnsi="Arial"/>
          <w:sz w:val="24"/>
          <w:szCs w:val="24"/>
        </w:rPr>
        <w:t xml:space="preserve">1. Методика определяет последовательность действий для проведения мониторинга и оценки 2 качественных индикаторов, характеризующих работу Фонда:</w:t>
      </w:r>
    </w:p>
    <w:p>
      <w:pPr>
        <w:spacing w:after="60"/>
        <w:ind w:firstLine="567"/>
        <w:jc w:val="both"/>
      </w:pPr>
      <w:r>
        <w:rPr>
          <w:rFonts w:ascii="Arial" w:cs="Arial" w:eastAsia="Arial" w:hAnsi="Arial"/>
          <w:sz w:val="24"/>
          <w:szCs w:val="24"/>
        </w:rPr>
        <w:t xml:space="preserve">1) степень удовлетворенности органов местного самоуправления и государственных органов деятельностью Фонда;</w:t>
      </w:r>
    </w:p>
    <w:p>
      <w:pPr>
        <w:spacing w:after="60"/>
        <w:ind w:firstLine="567"/>
        <w:jc w:val="both"/>
      </w:pPr>
      <w:r>
        <w:rPr>
          <w:rFonts w:ascii="Arial" w:cs="Arial" w:eastAsia="Arial" w:hAnsi="Arial"/>
          <w:sz w:val="24"/>
          <w:szCs w:val="24"/>
        </w:rPr>
        <w:t xml:space="preserve">2) степень удовлетворенности конечных потребителей результатами реализованных проектов.</w:t>
      </w:r>
    </w:p>
    <w:p>
      <w:pPr>
        <w:spacing w:after="60"/>
        <w:ind w:firstLine="567"/>
        <w:jc w:val="both"/>
      </w:pPr>
      <w:r>
        <w:rPr>
          <w:rFonts w:ascii="Arial" w:cs="Arial" w:eastAsia="Arial" w:hAnsi="Arial"/>
          <w:sz w:val="24"/>
          <w:szCs w:val="24"/>
        </w:rPr>
        <w:t xml:space="preserve">2. Оценка проводится методом анкетирования. Анкеты направляются участникам опроса по электронной почте, посредством электронного сообщения по мобильному телефону, по WhatsApp.</w:t>
      </w:r>
    </w:p>
    <w:p>
      <w:pPr>
        <w:spacing w:after="60"/>
        <w:ind w:firstLine="567"/>
        <w:jc w:val="both"/>
      </w:pPr>
      <w:r>
        <w:rPr>
          <w:rFonts w:ascii="Arial" w:cs="Arial" w:eastAsia="Arial" w:hAnsi="Arial"/>
          <w:sz w:val="24"/>
          <w:szCs w:val="24"/>
        </w:rPr>
        <w:t xml:space="preserve">3. Оценка проводится в период январь-февраль года, следующего за текущим годом. Данные по оценке должны быть готовы и включены в финальный отчет до 31 марта года, следующего за отчетным годом.</w:t>
      </w:r>
    </w:p>
    <w:p>
      <w:pPr>
        <w:spacing w:after="60"/>
        <w:ind w:firstLine="567"/>
        <w:jc w:val="both"/>
      </w:pPr>
      <w:r>
        <w:rPr>
          <w:rFonts w:ascii="Arial" w:cs="Arial" w:eastAsia="Arial" w:hAnsi="Arial"/>
          <w:sz w:val="24"/>
          <w:szCs w:val="24"/>
        </w:rPr>
        <w:t xml:space="preserve">4. Фондам рекомендуется для проведения оценки нанимать независимую компанию, которая имеет опыт проведения опросов и подготовки отчетов.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w:t>
      </w:r>
    </w:p>
    <w:p>
      <w:pPr>
        <w:spacing w:after="60"/>
        <w:ind w:firstLine="567"/>
        <w:jc w:val="both"/>
      </w:pPr>
      <w:r>
        <w:rPr>
          <w:rFonts w:ascii="Arial" w:cs="Arial" w:eastAsia="Arial" w:hAnsi="Arial"/>
          <w:sz w:val="24"/>
          <w:szCs w:val="24"/>
        </w:rPr>
        <w:t xml:space="preserve">5. Оценка степени удовлетворенности органов местного самоуправления и государственных органов деятельностью Фонда:</w:t>
      </w:r>
    </w:p>
    <w:p>
      <w:pPr>
        <w:spacing w:after="60"/>
        <w:ind w:firstLine="567"/>
        <w:jc w:val="both"/>
      </w:pPr>
      <w:r>
        <w:rPr>
          <w:rFonts w:ascii="Arial" w:cs="Arial" w:eastAsia="Arial" w:hAnsi="Arial"/>
          <w:sz w:val="24"/>
          <w:szCs w:val="24"/>
        </w:rPr>
        <w:t xml:space="preserve">1) формируется перечень заявителей в виде государственных органов и органов местного самоуправления, с указанием руководителей, или ответственных за проект лиц, которые подавали заявки на финансирование за счет средств Фонда;</w:t>
      </w:r>
    </w:p>
    <w:p>
      <w:pPr>
        <w:spacing w:after="60"/>
        <w:ind w:firstLine="567"/>
        <w:jc w:val="both"/>
      </w:pPr>
      <w:r>
        <w:rPr>
          <w:rFonts w:ascii="Arial" w:cs="Arial" w:eastAsia="Arial" w:hAnsi="Arial"/>
          <w:sz w:val="24"/>
          <w:szCs w:val="24"/>
        </w:rPr>
        <w:t xml:space="preserve">2) по каждому руководителю, или ответственному лицу устанавливаются контактные данные: электронная почта, или номер мобильного телефона;</w:t>
      </w:r>
    </w:p>
    <w:p>
      <w:pPr>
        <w:spacing w:after="60"/>
        <w:ind w:firstLine="567"/>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before="200"/>
        <w:ind w:firstLine="567"/>
        <w:jc w:val="left"/>
      </w:pPr>
      <w:r>
        <w:rPr>
          <w:rFonts w:ascii="Arial" w:cs="Arial" w:eastAsia="Arial" w:hAnsi="Arial"/>
          <w:b/>
          <w:bCs/>
          <w:sz w:val="24"/>
          <w:szCs w:val="24"/>
        </w:rPr>
        <w:t xml:space="preserve">Таблица 1.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2"/>
        <w:gridCol w:w="4784"/>
        <w:gridCol w:w="1022"/>
      </w:tblGrid>
      <w:tr>
        <w:tc>
          <w:tcPr>
            <w:tcW w:type="dxa" w:w="4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4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4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деятельностью Фонда развития региона ______________ области/района в прошедшем ______ году</w:t>
            </w: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Фонд успешно справляется с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Фонд в целом справляется со своей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Фонда есть определенные недостатки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Фонда не удовлетворен. В его деятельности много нарушений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 Количество ответов на анкеты должно быть не менее 70% от числа отправленных анкет;</w:t>
      </w:r>
    </w:p>
    <w:p>
      <w:pPr>
        <w:spacing w:after="60"/>
        <w:ind w:firstLine="567"/>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органов МСУ и государственных органов деятельностью Фонда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Оср - среднее значение индикатора (в %),</w:t>
      </w:r>
    </w:p>
    <w:p>
      <w:pPr>
        <w:spacing w:after="60"/>
        <w:ind w:firstLine="567"/>
        <w:jc w:val="both"/>
      </w:pPr>
      <w:r>
        <w:rPr>
          <w:rFonts w:ascii="Arial" w:cs="Arial" w:eastAsia="Arial" w:hAnsi="Arial"/>
          <w:sz w:val="24"/>
          <w:szCs w:val="24"/>
        </w:rPr>
        <w:t xml:space="preserve">ƩOi - сумма весов всех полученных ответов (в %),</w:t>
      </w:r>
    </w:p>
    <w:p>
      <w:pPr>
        <w:spacing w:after="60"/>
        <w:ind w:firstLine="567"/>
        <w:jc w:val="both"/>
      </w:pPr>
      <w:r>
        <w:rPr>
          <w:rFonts w:ascii="Arial" w:cs="Arial" w:eastAsia="Arial" w:hAnsi="Arial"/>
          <w:sz w:val="24"/>
          <w:szCs w:val="24"/>
        </w:rPr>
        <w:t xml:space="preserve">Na - количество полученных ответов на анкеты.</w:t>
      </w:r>
    </w:p>
    <w:p>
      <w:pPr>
        <w:spacing w:after="120"/>
        <w:ind w:firstLine="567"/>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6. Оценка степени удовлетворенности конечных потребителей результатами реализованных проектов:</w:t>
      </w:r>
    </w:p>
    <w:p>
      <w:pPr>
        <w:spacing w:after="60"/>
        <w:ind w:firstLine="567"/>
        <w:jc w:val="both"/>
      </w:pPr>
      <w:r>
        <w:rPr>
          <w:rFonts w:ascii="Arial" w:cs="Arial" w:eastAsia="Arial" w:hAnsi="Arial"/>
          <w:sz w:val="24"/>
          <w:szCs w:val="24"/>
        </w:rPr>
        <w:t xml:space="preserve">1) из перечня проектов, которые были реализованы в отчетном году выбирается 30% проектов, в числе выбранных проектов должно быть не менее 20% экономических проектов (проекты выбираются по принципу случайной выборки, допускается использовать жребий);</w:t>
      </w:r>
    </w:p>
    <w:p>
      <w:pPr>
        <w:spacing w:after="60"/>
        <w:ind w:firstLine="567"/>
        <w:jc w:val="both"/>
      </w:pPr>
      <w:r>
        <w:rPr>
          <w:rFonts w:ascii="Arial" w:cs="Arial" w:eastAsia="Arial" w:hAnsi="Arial"/>
          <w:sz w:val="24"/>
          <w:szCs w:val="24"/>
        </w:rPr>
        <w:t xml:space="preserve">2) по каждому проекту определяются 3-5 лиц, получающих пользу от этого проекта с контактными данными, вышеназванные лица определяются методом случайной выборки компанией, проводящей оценку (не допускается, чтобы перечень будущих анкетируемых представлялся руководством проекта, как заинтересованным лицом);</w:t>
      </w:r>
    </w:p>
    <w:p>
      <w:pPr>
        <w:spacing w:after="60"/>
        <w:ind w:firstLine="567"/>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before="200"/>
        <w:ind w:firstLine="567"/>
        <w:jc w:val="left"/>
      </w:pPr>
      <w:r>
        <w:rPr>
          <w:rFonts w:ascii="Arial" w:cs="Arial" w:eastAsia="Arial" w:hAnsi="Arial"/>
          <w:b/>
          <w:bCs/>
          <w:sz w:val="24"/>
          <w:szCs w:val="24"/>
        </w:rPr>
        <w:t xml:space="preserve">Таблица 2.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0"/>
        <w:gridCol w:w="5174"/>
        <w:gridCol w:w="1014"/>
      </w:tblGrid>
      <w:tr>
        <w:tc>
          <w:tcPr>
            <w:tcW w:type="dxa" w:w="39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39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результатами проекта ________________, который был профинансирован за счет средств Фонда развития региона ________________ области/района в прошедшем ______ году</w:t>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Проект оказал мне существенную помощь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Проект в целом справился с поставленными задачами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Проекта есть определенные недостатки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Проекта не удовлетворен. Проект не достиг поставленных целей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w:t>
      </w:r>
    </w:p>
    <w:p>
      <w:pPr>
        <w:spacing w:after="60"/>
        <w:ind w:firstLine="567"/>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Оср - среднее значение индикатора (в %),</w:t>
      </w:r>
    </w:p>
    <w:p>
      <w:pPr>
        <w:spacing w:after="60"/>
        <w:ind w:firstLine="567"/>
        <w:jc w:val="both"/>
      </w:pPr>
      <w:r>
        <w:rPr>
          <w:rFonts w:ascii="Arial" w:cs="Arial" w:eastAsia="Arial" w:hAnsi="Arial"/>
          <w:sz w:val="24"/>
          <w:szCs w:val="24"/>
        </w:rPr>
        <w:t xml:space="preserve">ƩOi - сумма весов всех полученных ответов (в %),</w:t>
      </w:r>
    </w:p>
    <w:p>
      <w:pPr>
        <w:spacing w:after="60"/>
        <w:ind w:firstLine="567"/>
        <w:jc w:val="both"/>
      </w:pPr>
      <w:r>
        <w:rPr>
          <w:rFonts w:ascii="Arial" w:cs="Arial" w:eastAsia="Arial" w:hAnsi="Arial"/>
          <w:sz w:val="24"/>
          <w:szCs w:val="24"/>
        </w:rPr>
        <w:t xml:space="preserve">Na - количество полученных ответов на анкеты.</w:t>
      </w:r>
    </w:p>
    <w:p>
      <w:pPr>
        <w:spacing w:after="120"/>
        <w:ind w:firstLine="567"/>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методике</w:t>
      </w:r>
    </w:p>
    <w:p>
      <w:pPr>
        <w:spacing w:after="400" w:before="400"/>
        <w:jc w:val="center"/>
      </w:pPr>
      <w:r>
        <w:rPr>
          <w:rFonts w:ascii="Arial" w:cs="Arial" w:eastAsia="Arial" w:hAnsi="Arial"/>
          <w:b/>
          <w:bCs/>
          <w:sz w:val="32"/>
          <w:szCs w:val="32"/>
        </w:rPr>
        <w:t xml:space="preserve">СТАТИСТИЧЕСКАЯ ИНФОРМАЦИЯ
 о деятельности Фонда развития регионов</w:t>
      </w:r>
    </w:p>
    <w:p>
      <w:pPr>
        <w:spacing w:after="120" w:before="200"/>
        <w:ind w:firstLine="567"/>
        <w:jc w:val="left"/>
      </w:pPr>
      <w:r>
        <w:rPr>
          <w:rFonts w:ascii="Arial" w:cs="Arial" w:eastAsia="Arial" w:hAnsi="Arial"/>
          <w:b/>
          <w:bCs/>
          <w:sz w:val="24"/>
          <w:szCs w:val="24"/>
        </w:rPr>
        <w:t xml:space="preserve">Таблица 1. Сводная информация о деятельности Фондов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729"/>
        <w:gridCol w:w="1228"/>
        <w:gridCol w:w="1368"/>
        <w:gridCol w:w="1309"/>
        <w:gridCol w:w="937"/>
        <w:gridCol w:w="1163"/>
        <w:gridCol w:w="1091"/>
        <w:gridCol w:w="1051"/>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проектов</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утвержденных проектов в текущем году</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объем финансирования
 (млн. сом)</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реализованных проектов в текущем году</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освоенных средств
 (млн. сом)</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переходящих проектов на следующий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переходящих средств
 (млн. сом)</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 в текущем году</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и инфраструктурные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ФАПы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культуры/кинотеатры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комплексы/площадки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Государственно-муниципальное управление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Жилищно-коммунальное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Чрезвычайные ситуации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Предпринимательство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Проекты, получившие кредиты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left"/>
      </w:pPr>
      <w:r>
        <w:rPr>
          <w:rFonts w:ascii="Arial" w:cs="Arial" w:eastAsia="Arial" w:hAnsi="Arial"/>
          <w:b/>
          <w:bCs/>
          <w:sz w:val="24"/>
          <w:szCs w:val="24"/>
        </w:rPr>
        <w:t xml:space="preserve">Таблица 2. Описание проектов, реализованных Фондом развития региона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513"/>
        <w:gridCol w:w="1112"/>
        <w:gridCol w:w="2154"/>
        <w:gridCol w:w="2018"/>
        <w:gridCol w:w="1441"/>
        <w:gridCol w:w="16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проекта</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проекта</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Запланированное финансирование за счет средств Фонда</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финансирование за счет средств Фонда</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проекта (завершен - не завершен, не начат)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Социальные и инфраструктурные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Спорт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и муниципальное управление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Жилищно-коммунальное хозяйство</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Чрезвычайные ситуации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Создание условий для предпринимательства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Экономические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получившие кредиты</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методике</w:t>
      </w:r>
    </w:p>
    <w:p>
      <w:pPr>
        <w:spacing w:after="400" w:before="400"/>
        <w:jc w:val="center"/>
      </w:pPr>
      <w:r>
        <w:rPr>
          <w:rFonts w:ascii="Arial" w:cs="Arial" w:eastAsia="Arial" w:hAnsi="Arial"/>
          <w:b/>
          <w:bCs/>
          <w:sz w:val="32"/>
          <w:szCs w:val="32"/>
        </w:rPr>
        <w:t xml:space="preserve">ФОРМА ОТЧЕТА
 по мониторингу и оценке деятельности Фонда развития региона</w:t>
      </w:r>
    </w:p>
    <w:p>
      <w:pPr>
        <w:spacing w:after="60" w:before="200"/>
        <w:ind w:firstLine="567"/>
        <w:jc w:val="left"/>
      </w:pPr>
      <w:r>
        <w:rPr>
          <w:rFonts w:ascii="Arial" w:cs="Arial" w:eastAsia="Arial" w:hAnsi="Arial"/>
          <w:b/>
          <w:bCs/>
          <w:sz w:val="24"/>
          <w:szCs w:val="24"/>
        </w:rPr>
        <w:t xml:space="preserve">1. Общая информация (не более 1 страницы)</w:t>
      </w:r>
    </w:p>
    <w:p>
      <w:pPr>
        <w:spacing w:after="60"/>
        <w:ind w:firstLine="567"/>
        <w:jc w:val="both"/>
      </w:pPr>
      <w:r>
        <w:rPr>
          <w:rFonts w:ascii="Arial" w:cs="Arial" w:eastAsia="Arial" w:hAnsi="Arial"/>
          <w:sz w:val="24"/>
          <w:szCs w:val="24"/>
        </w:rPr>
        <w:t xml:space="preserve">- информация о Фонде;</w:t>
      </w:r>
    </w:p>
    <w:p>
      <w:pPr>
        <w:spacing w:after="60"/>
        <w:ind w:firstLine="567"/>
        <w:jc w:val="both"/>
      </w:pPr>
      <w:r>
        <w:rPr>
          <w:rFonts w:ascii="Arial" w:cs="Arial" w:eastAsia="Arial" w:hAnsi="Arial"/>
          <w:sz w:val="24"/>
          <w:szCs w:val="24"/>
        </w:rPr>
        <w:t xml:space="preserve">- плановые показатели по бюджету;</w:t>
      </w:r>
    </w:p>
    <w:p>
      <w:pPr>
        <w:spacing w:after="60"/>
        <w:ind w:firstLine="567"/>
        <w:jc w:val="both"/>
      </w:pPr>
      <w:r>
        <w:rPr>
          <w:rFonts w:ascii="Arial" w:cs="Arial" w:eastAsia="Arial" w:hAnsi="Arial"/>
          <w:sz w:val="24"/>
          <w:szCs w:val="24"/>
        </w:rPr>
        <w:t xml:space="preserve">- источники финансирования Фонда: предприятия (недропользователи), средства республиканского бюджета, специальные средства;</w:t>
      </w:r>
    </w:p>
    <w:p>
      <w:pPr>
        <w:spacing w:after="60"/>
        <w:ind w:firstLine="567"/>
        <w:jc w:val="both"/>
      </w:pPr>
      <w:r>
        <w:rPr>
          <w:rFonts w:ascii="Arial" w:cs="Arial" w:eastAsia="Arial" w:hAnsi="Arial"/>
          <w:sz w:val="24"/>
          <w:szCs w:val="24"/>
        </w:rPr>
        <w:t xml:space="preserve">- общее число поступивших заявок и их распределение по видам деятельности.</w:t>
      </w:r>
    </w:p>
    <w:p>
      <w:pPr>
        <w:spacing w:after="60" w:before="200"/>
        <w:ind w:firstLine="567"/>
        <w:jc w:val="left"/>
      </w:pPr>
      <w:r>
        <w:rPr>
          <w:rFonts w:ascii="Arial" w:cs="Arial" w:eastAsia="Arial" w:hAnsi="Arial"/>
          <w:b/>
          <w:bCs/>
          <w:sz w:val="24"/>
          <w:szCs w:val="24"/>
        </w:rPr>
        <w:t xml:space="preserve">2. Анализ позитивных результатов работы Фонда (не более 2 страниц)</w:t>
      </w:r>
    </w:p>
    <w:p>
      <w:pPr>
        <w:spacing w:after="60"/>
        <w:ind w:firstLine="567"/>
        <w:jc w:val="both"/>
      </w:pPr>
      <w:r>
        <w:rPr>
          <w:rFonts w:ascii="Arial" w:cs="Arial" w:eastAsia="Arial" w:hAnsi="Arial"/>
          <w:sz w:val="24"/>
          <w:szCs w:val="24"/>
        </w:rPr>
        <w:t xml:space="preserve">Указать какие успехи достигнуты Фондом в текущем году. Привести примеры успешных проектов. Акцент сделать на проектах с применением инноваций, новых технологий, а также на проекты, которые оказали эффект на весь регион.</w:t>
      </w:r>
    </w:p>
    <w:p>
      <w:pPr>
        <w:spacing w:after="60" w:before="200"/>
        <w:ind w:firstLine="567"/>
        <w:jc w:val="left"/>
      </w:pPr>
      <w:r>
        <w:rPr>
          <w:rFonts w:ascii="Arial" w:cs="Arial" w:eastAsia="Arial" w:hAnsi="Arial"/>
          <w:b/>
          <w:bCs/>
          <w:sz w:val="24"/>
          <w:szCs w:val="24"/>
        </w:rPr>
        <w:t xml:space="preserve">3. Анализ проблемных вопросов</w:t>
      </w:r>
    </w:p>
    <w:p>
      <w:pPr>
        <w:spacing w:after="60"/>
        <w:ind w:firstLine="567"/>
        <w:jc w:val="both"/>
      </w:pPr>
      <w:r>
        <w:rPr>
          <w:rFonts w:ascii="Arial" w:cs="Arial" w:eastAsia="Arial" w:hAnsi="Arial"/>
          <w:sz w:val="24"/>
          <w:szCs w:val="24"/>
        </w:rPr>
        <w:t xml:space="preserve">Указать с какими проблемами столкнулись Фонды в процессе своей деятельности. Указать какие вопросы удалось решить самостоятельно.</w:t>
      </w:r>
    </w:p>
    <w:p>
      <w:pPr>
        <w:spacing w:after="60"/>
        <w:ind w:firstLine="567"/>
        <w:jc w:val="both"/>
      </w:pPr>
      <w:r>
        <w:rPr>
          <w:rFonts w:ascii="Arial" w:cs="Arial" w:eastAsia="Arial" w:hAnsi="Arial"/>
          <w:sz w:val="24"/>
          <w:szCs w:val="24"/>
        </w:rPr>
        <w:t xml:space="preserve">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w:t>
      </w:r>
    </w:p>
    <w:p>
      <w:pPr>
        <w:spacing w:after="60" w:before="200"/>
        <w:ind w:firstLine="567"/>
        <w:jc w:val="left"/>
      </w:pPr>
      <w:r>
        <w:rPr>
          <w:rFonts w:ascii="Arial" w:cs="Arial" w:eastAsia="Arial" w:hAnsi="Arial"/>
          <w:b/>
          <w:bCs/>
          <w:sz w:val="24"/>
          <w:szCs w:val="24"/>
        </w:rPr>
        <w:t xml:space="preserve">4. Результаты мониторинга и оценки</w:t>
      </w:r>
    </w:p>
    <w:p>
      <w:pPr>
        <w:spacing w:after="60"/>
        <w:ind w:firstLine="567"/>
        <w:jc w:val="both"/>
      </w:pPr>
      <w:r>
        <w:rPr>
          <w:rFonts w:ascii="Arial" w:cs="Arial" w:eastAsia="Arial" w:hAnsi="Arial"/>
          <w:sz w:val="24"/>
          <w:szCs w:val="24"/>
        </w:rPr>
        <w:t xml:space="preserve">Представляются результаты МиО в разрезе по типам индикаторов:</w:t>
      </w:r>
    </w:p>
    <w:p>
      <w:pPr>
        <w:spacing w:after="60"/>
        <w:ind w:firstLine="567"/>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60"/>
        <w:ind w:firstLine="567"/>
        <w:jc w:val="both"/>
      </w:pPr>
      <w:r>
        <w:rPr>
          <w:rFonts w:ascii="Arial" w:cs="Arial" w:eastAsia="Arial" w:hAnsi="Arial"/>
          <w:sz w:val="24"/>
          <w:szCs w:val="24"/>
        </w:rPr>
        <w:t xml:space="preserve">2) соблюдение целевого использования финансовых средств;</w:t>
      </w:r>
    </w:p>
    <w:p>
      <w:pPr>
        <w:spacing w:after="60"/>
        <w:ind w:firstLine="567"/>
        <w:jc w:val="both"/>
      </w:pPr>
      <w:r>
        <w:rPr>
          <w:rFonts w:ascii="Arial" w:cs="Arial" w:eastAsia="Arial" w:hAnsi="Arial"/>
          <w:sz w:val="24"/>
          <w:szCs w:val="24"/>
        </w:rPr>
        <w:t xml:space="preserve">3) оценка эффективности выполнения проектов;</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По каждой группе индикаторов указываются таблицы, представленные в Типовой методике с заполненными показателями.</w:t>
      </w:r>
    </w:p>
    <w:p>
      <w:pPr>
        <w:spacing w:after="60"/>
        <w:ind w:firstLine="567"/>
        <w:jc w:val="both"/>
      </w:pPr>
      <w:r>
        <w:rPr>
          <w:rFonts w:ascii="Arial" w:cs="Arial" w:eastAsia="Arial" w:hAnsi="Arial"/>
          <w:sz w:val="24"/>
          <w:szCs w:val="24"/>
        </w:rPr>
        <w:t xml:space="preserve">По каждой группе индикаторов дается анализ полученных данных. Указываются причины успехов и негативных моментов.</w:t>
      </w:r>
    </w:p>
    <w:p>
      <w:pPr>
        <w:spacing w:after="60"/>
        <w:ind w:firstLine="567"/>
        <w:jc w:val="both"/>
      </w:pPr>
      <w:r>
        <w:rPr>
          <w:rFonts w:ascii="Arial" w:cs="Arial" w:eastAsia="Arial" w:hAnsi="Arial"/>
          <w:sz w:val="24"/>
          <w:szCs w:val="24"/>
        </w:rPr>
        <w:t xml:space="preserve">Представить результаты МиО в виде "лепестковой" диаграммы.</w:t>
      </w:r>
    </w:p>
    <w:p>
      <w:pPr>
        <w:spacing w:after="60" w:before="200"/>
        <w:ind w:firstLine="567"/>
        <w:jc w:val="left"/>
      </w:pPr>
      <w:r>
        <w:rPr>
          <w:rFonts w:ascii="Arial" w:cs="Arial" w:eastAsia="Arial" w:hAnsi="Arial"/>
          <w:b/>
          <w:bCs/>
          <w:sz w:val="24"/>
          <w:szCs w:val="24"/>
        </w:rPr>
        <w:t xml:space="preserve">5. Выводы и рекомендации по результатам МиО</w:t>
      </w:r>
    </w:p>
    <w:p>
      <w:pPr>
        <w:spacing w:after="60"/>
        <w:ind w:firstLine="567"/>
        <w:jc w:val="both"/>
      </w:pPr>
      <w:r>
        <w:rPr>
          <w:rFonts w:ascii="Arial" w:cs="Arial" w:eastAsia="Arial" w:hAnsi="Arial"/>
          <w:sz w:val="24"/>
          <w:szCs w:val="24"/>
        </w:rPr>
        <w:t xml:space="preserve">По результатам МиО Фонд самостоятельно дает объективную оценку своей деятельности. По результатам анализа Фонд представляет перечень корректирующих действий, которые запланированы для улучшения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8zp0mp9o7ai2kliofai">
      <w:r>
        <w:rPr>
          <w:rFonts w:ascii="Arial" w:cs="Arial" w:eastAsia="Arial" w:hAnsi="Arial"/>
          <w:color w:val="132D3F"/>
          <w:sz w:val="16"/>
          <w:szCs w:val="16"/>
          <w:u w:val="single"/>
        </w:rPr>
        <w:t xml:space="preserve">dalil.kg/document/159858</w:t>
      </w:r>
    </w:hyperlink>
  </w:p>
  <w:p>
    <w:pPr>
      <w:spacing w:after="0" w:before="40"/>
      <w:jc w:val="center"/>
    </w:pPr>
    <w:hyperlink w:history="1" r:id="rIdzzn6wephxnsgwzf8iuq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jmpbzb3aoophh37a-wt" Type="http://schemas.openxmlformats.org/officeDocument/2006/relationships/hyperlink" Target="https://dalil.kg/document/230014982" TargetMode="External"/><Relationship Id="rId6vy2sdh1qwtx68_unj92x" Type="http://schemas.openxmlformats.org/officeDocument/2006/relationships/hyperlink" Target="https://dalil.kg/document/160095" TargetMode="External"/><Relationship Id="rId5jmh3bzqywccg4pipn0if" Type="http://schemas.openxmlformats.org/officeDocument/2006/relationships/hyperlink" Target="https://dalil.kg/document/160518" TargetMode="External"/><Relationship Id="rIdal6wrptuwv7ja91wvklad" Type="http://schemas.openxmlformats.org/officeDocument/2006/relationships/hyperlink" Target="https://dalil.kg/document/111338#st_34" TargetMode="External"/><Relationship Id="rIdmf-ikletfatbtdrkcxfoc" Type="http://schemas.openxmlformats.org/officeDocument/2006/relationships/hyperlink" Target="https://dalil.kg/document/159859" TargetMode="External"/><Relationship Id="rIdzsyr0zdp6psxtfv0-b1ks" Type="http://schemas.openxmlformats.org/officeDocument/2006/relationships/hyperlink" Target="https://dalil.kg/document/159858#pr2" TargetMode="External"/><Relationship Id="rIdefpc0fchuch011lliynju" Type="http://schemas.openxmlformats.org/officeDocument/2006/relationships/hyperlink" Target="https://dalil.kg/document/159858#pr3" TargetMode="External"/><Relationship Id="rId6l376ntr1wantvsciqncl" Type="http://schemas.openxmlformats.org/officeDocument/2006/relationships/hyperlink" Target="https://dalil.kg/document/159858#pr4" TargetMode="External"/><Relationship Id="rIdq4w3dlexhqu4_rhbb8zpy" Type="http://schemas.openxmlformats.org/officeDocument/2006/relationships/hyperlink" Target="https://dalil.kg/document/159858#pr5" TargetMode="External"/><Relationship Id="rIdbcn8-0nzujvnoyafkvir4" Type="http://schemas.openxmlformats.org/officeDocument/2006/relationships/hyperlink" Target="https://dalil.kg/document/159858#pr6" TargetMode="External"/><Relationship Id="rIdjefzyc3dt9arbgpmr5uzh" Type="http://schemas.openxmlformats.org/officeDocument/2006/relationships/hyperlink" Target="https://dalil.kg/document/160518" TargetMode="External"/><Relationship Id="rIdbrhh7st7_eleqrskcwvy9" Type="http://schemas.openxmlformats.org/officeDocument/2006/relationships/hyperlink" Target="https://dalil.kg/document/160518" TargetMode="External"/><Relationship Id="rIdaa1exnen9eekoad1cqwrs" Type="http://schemas.openxmlformats.org/officeDocument/2006/relationships/hyperlink" Target="https://dalil.kg/document/158639" TargetMode="External"/><Relationship Id="rIddbb8imobgbcnexcgcq3b3" Type="http://schemas.openxmlformats.org/officeDocument/2006/relationships/hyperlink" Target="https://dalil.kg/document/158645" TargetMode="External"/><Relationship Id="rIdmip7dsga0rszycxemyh8f" Type="http://schemas.openxmlformats.org/officeDocument/2006/relationships/hyperlink" Target="https://dalil.kg/document/159342" TargetMode="External"/><Relationship Id="rId8mirf5arwolds8jpiw5oq" Type="http://schemas.openxmlformats.org/officeDocument/2006/relationships/hyperlink" Target="https://dalil.kg/document/160095" TargetMode="External"/><Relationship Id="rIdnu5jobqwqiihg8hh3kwcd" Type="http://schemas.openxmlformats.org/officeDocument/2006/relationships/hyperlink" Target="https://dalil.kg/document/160095" TargetMode="External"/><Relationship Id="rIdfrorqtqt22vdkasbo1hod" Type="http://schemas.openxmlformats.org/officeDocument/2006/relationships/hyperlink" Target="https://dalil.kg/document/1605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8zp0mp9o7ai2kliofai" Type="http://schemas.openxmlformats.org/officeDocument/2006/relationships/hyperlink" Target="https://dalil.kg/document/159858" TargetMode="External"/><Relationship Id="rIdzzn6wephxnsgwzf8iuq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2026-09-23T22:51:10.141Z</dcterms:created>
  <dcterms:modified xsi:type="dcterms:W3CDTF">2026-09-23T22:51:10.141Z</dcterms:modified>
</cp:coreProperties>
</file>

<file path=docProps/custom.xml><?xml version="1.0" encoding="utf-8"?>
<Properties xmlns="http://schemas.openxmlformats.org/officeDocument/2006/custom-properties" xmlns:vt="http://schemas.openxmlformats.org/officeDocument/2006/docPropsVTypes"/>
</file>