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1</w:t>
      </w:r>
    </w:p>
    <w:p>
      <w:pPr>
        <w:spacing w:after="120"/>
        <w:jc w:val="right"/>
      </w:pPr>
      <w:r>
        <w:rPr>
          <w:rFonts w:ascii="Arial" w:cs="Arial" w:eastAsia="Arial" w:hAnsi="Arial"/>
          <w:i/>
          <w:iCs/>
          <w:sz w:val="24"/>
          <w:szCs w:val="24"/>
        </w:rPr>
        <w:t xml:space="preserve">(к </w:t>
      </w:r>
      <w:hyperlink w:history="1" r:id="rIdkt6jgpy-r3zciginxqfn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декабря 2022 года № 707)</w:t>
      </w:r>
    </w:p>
    <w:p>
      <w:pPr>
        <w:spacing w:after="400" w:before="400"/>
        <w:jc w:val="center"/>
      </w:pPr>
      <w:r>
        <w:rPr>
          <w:rFonts w:ascii="Arial" w:cs="Arial" w:eastAsia="Arial" w:hAnsi="Arial"/>
          <w:b/>
          <w:bCs/>
          <w:sz w:val="32"/>
          <w:szCs w:val="32"/>
        </w:rPr>
        <w:t xml:space="preserve">Программа
 по поддержке и развитию электронной коммерции в Кыргызской Республике на 2023-2026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onwuw5pd8wex8agzqc5v">
        <w:r>
          <w:rPr>
            <w:rFonts w:ascii="Arial" w:cs="Arial" w:eastAsia="Arial" w:hAnsi="Arial"/>
            <w:i/>
            <w:iCs/>
            <w:color w:val="1D4ED8"/>
            <w:sz w:val="24"/>
            <w:szCs w:val="24"/>
            <w:u w:val="single"/>
          </w:rPr>
          <w:t xml:space="preserve">22 октября 2025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Электронная коммерция только начинает укореняться в Кыргызской Республике. За последнее десятилетие наблюдалось ускорение активности в сфере электронной торговли и электронного бизнеса. Несмотря на то, что этот сектор еще не получил широкого распространения, он быстро развивается благодаря энергичной предпринимательской базе, относительно надежной интернет-сети и сильному государственно-частному диалогу в сфере цифровой экономики.</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12 октября 2021 года </w:t>
      </w:r>
      <w:r>
        <w:rPr>
          <w:rFonts w:ascii="Arial" w:cs="Arial" w:eastAsia="Arial" w:hAnsi="Arial"/>
          <w:sz w:val="24"/>
          <w:szCs w:val="24"/>
        </w:rPr>
        <w:t xml:space="preserve">№ </w:t>
      </w:r>
      <w:r>
        <w:rPr>
          <w:rFonts w:ascii="Arial" w:cs="Arial" w:eastAsia="Arial" w:hAnsi="Arial"/>
          <w:sz w:val="24"/>
          <w:szCs w:val="24"/>
        </w:rPr>
        <w:t xml:space="preserve">435 утверждена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развития Кыргызской Республики до 2026 года, в которой получили отражение вопросы развития цифровизации управления и развития цифровой инфраструктуры, согласно которой ставятся цели планомерного и систематического подключения бизнес-структур к системе электронного управления государства, автоматизирования прослеживаемости товаров и услуг, внедрения инновационных решений (финансовые технологии) для оказания традиционных финансовых услуг, а также принятия и реализации концепции "Цифровая экономика Кыргызской Республики".</w:t>
      </w:r>
    </w:p>
    <w:p>
      <w:pPr>
        <w:spacing w:after="60"/>
        <w:ind w:firstLine="567"/>
        <w:jc w:val="both"/>
      </w:pPr>
      <w:r>
        <w:rPr>
          <w:rFonts w:ascii="Arial" w:cs="Arial" w:eastAsia="Arial" w:hAnsi="Arial"/>
          <w:sz w:val="24"/>
          <w:szCs w:val="24"/>
        </w:rPr>
        <w:t xml:space="preserve">Цифровые преобразования и электронная торговля получили приоритет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w:t>
      </w:r>
      <w:r>
        <w:rPr>
          <w:rFonts w:ascii="Arial" w:cs="Arial" w:eastAsia="Arial" w:hAnsi="Arial"/>
          <w:sz w:val="24"/>
          <w:szCs w:val="24"/>
        </w:rPr>
        <w:t xml:space="preserve">№</w:t>
      </w:r>
      <w:r>
        <w:rPr>
          <w:rFonts w:ascii="Arial" w:cs="Arial" w:eastAsia="Arial" w:hAnsi="Arial"/>
          <w:sz w:val="24"/>
          <w:szCs w:val="24"/>
        </w:rPr>
        <w:t xml:space="preserve"> 221, и решением Совета безопасности Кыргызской Республики от 14 декабря 2018 года </w:t>
      </w:r>
      <w:r>
        <w:rPr>
          <w:rFonts w:ascii="Arial" w:cs="Arial" w:eastAsia="Arial" w:hAnsi="Arial"/>
          <w:sz w:val="24"/>
          <w:szCs w:val="24"/>
        </w:rPr>
        <w:t xml:space="preserve">№</w:t>
      </w:r>
      <w:r>
        <w:rPr>
          <w:rFonts w:ascii="Arial" w:cs="Arial" w:eastAsia="Arial" w:hAnsi="Arial"/>
          <w:sz w:val="24"/>
          <w:szCs w:val="24"/>
        </w:rPr>
        <w:t xml:space="preserve"> 2 утверждена Концепция цифровой трансформации "Цифровой Кыргызстан 2019-2023", согласованная с развитием сектора электронной торговли. Цели вышеуказанной Концепции включают создание условий для глубокой цифровизации/цифровой трансформации традиционных секторов экономики, таких как промышленное производство, туризм, сельское хозяйство, легкая промышленность и строительство, а также содействие частному сектору в реализации новых возможностей расширения рынков сбыта.</w:t>
      </w:r>
    </w:p>
    <w:p>
      <w:pPr>
        <w:spacing w:after="60"/>
        <w:ind w:firstLine="567"/>
        <w:jc w:val="both"/>
      </w:pPr>
      <w:r>
        <w:rPr>
          <w:rFonts w:ascii="Arial" w:cs="Arial" w:eastAsia="Arial" w:hAnsi="Arial"/>
          <w:sz w:val="24"/>
          <w:szCs w:val="24"/>
        </w:rPr>
        <w:t xml:space="preserve">Кроме того, в целях реализации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развития Кыргызской Республики до 2026 года,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12 октября 2021 года </w:t>
      </w:r>
      <w:r>
        <w:rPr>
          <w:rFonts w:ascii="Arial" w:cs="Arial" w:eastAsia="Arial" w:hAnsi="Arial"/>
          <w:sz w:val="24"/>
          <w:szCs w:val="24"/>
        </w:rPr>
        <w:t xml:space="preserve">№ </w:t>
      </w:r>
      <w:r>
        <w:rPr>
          <w:rFonts w:ascii="Arial" w:cs="Arial" w:eastAsia="Arial" w:hAnsi="Arial"/>
          <w:sz w:val="24"/>
          <w:szCs w:val="24"/>
        </w:rPr>
        <w:t xml:space="preserve">435, Кабинет Министров Кыргызской Республики принял План мероприятий Кабинета Министров Кыргызской Республики по реализации Национальной программы развития Кыргызской Республики до 2026 года, где задачами по созданию экосистемы для развития электронной торговли является разработка Программы по поддержке и развитию электронной коммерции в Кыргызской Республике (далее - Программа), разработка и принятие Закона Кыргызской Республики "О парке электронной коммерции".</w:t>
      </w:r>
    </w:p>
    <w:p>
      <w:pPr>
        <w:spacing w:after="60"/>
        <w:ind w:firstLine="567"/>
        <w:jc w:val="both"/>
      </w:pPr>
      <w:r>
        <w:rPr>
          <w:rFonts w:ascii="Arial" w:cs="Arial" w:eastAsia="Arial" w:hAnsi="Arial"/>
          <w:sz w:val="24"/>
          <w:szCs w:val="24"/>
        </w:rPr>
        <w:t xml:space="preserve">К настоящему времени 510 государственных услуг оказываются в режиме онлайн. Ожидается, что такое взаимодействие ускорит внедрение цифровых услуг на разных уровнях, в том числе на высоком уровне, а также среди гражданского общества и частного сектора.</w:t>
      </w:r>
    </w:p>
    <w:p>
      <w:pPr>
        <w:spacing w:after="60"/>
        <w:ind w:firstLine="567"/>
        <w:jc w:val="both"/>
      </w:pPr>
      <w:r>
        <w:rPr>
          <w:rFonts w:ascii="Arial" w:cs="Arial" w:eastAsia="Arial" w:hAnsi="Arial"/>
          <w:sz w:val="24"/>
          <w:szCs w:val="24"/>
        </w:rPr>
        <w:t xml:space="preserve">Между тем усилия Кыргызской Республики по достижению цифровой трансформации имеют убедительное экономическое обоснование, обусловленное потенциалом Кыргызской Республики как центра логистики и цифровой торговли, обслуживающего регион и другие страны.</w:t>
      </w:r>
    </w:p>
    <w:p>
      <w:pPr>
        <w:spacing w:after="60"/>
        <w:ind w:firstLine="567"/>
        <w:jc w:val="both"/>
      </w:pPr>
      <w:r>
        <w:rPr>
          <w:rFonts w:ascii="Arial" w:cs="Arial" w:eastAsia="Arial" w:hAnsi="Arial"/>
          <w:sz w:val="24"/>
          <w:szCs w:val="24"/>
        </w:rPr>
        <w:t xml:space="preserve">В силу своего стратегического положения Кыргызская Республика имеет значительный потенциал выполнять функции транзитной зоны для коммерческих перевозок и торговли между Китаем, Россией, Казахстаном, Южной Азией и Ближним Востоком. В подтверждение этому за последнее десятилетие были реализованы ряд стратегий, направленных на развитие транспортной инфраструктуры и расширение доступа к рынкам, а также на упрощение торговых процедур.</w:t>
      </w:r>
    </w:p>
    <w:p>
      <w:pPr>
        <w:spacing w:after="60"/>
        <w:ind w:firstLine="567"/>
        <w:jc w:val="both"/>
      </w:pPr>
      <w:r>
        <w:rPr>
          <w:rFonts w:ascii="Arial" w:cs="Arial" w:eastAsia="Arial" w:hAnsi="Arial"/>
          <w:sz w:val="24"/>
          <w:szCs w:val="24"/>
        </w:rPr>
        <w:t xml:space="preserve">Применение современных информационных технологий в бизнесе формирует новые направления в глобальной системе координат мировой экономики. Это направление сегодня принято называть интернет-экономикой. Интернет дает возможность отечественным компаниям выйти на мировой рынок, расширяет каналы сбыта, объединяет поставщиков и покупателей в единую систему.</w:t>
      </w:r>
    </w:p>
    <w:p>
      <w:pPr>
        <w:spacing w:after="60"/>
        <w:ind w:firstLine="567"/>
        <w:jc w:val="both"/>
      </w:pPr>
      <w:r>
        <w:rPr>
          <w:rFonts w:ascii="Arial" w:cs="Arial" w:eastAsia="Arial" w:hAnsi="Arial"/>
          <w:sz w:val="24"/>
          <w:szCs w:val="24"/>
        </w:rPr>
        <w:t xml:space="preserve">Оборот интернет-бизнеса составляет такие значительные суммы, которые сопоставимы с валовым внутренним продуктом (далее - ВВП) таких стран, как Франция, Италия, Великобритания. Поэтому нельзя игнорировать или преуменьшать значение этого относительно нового сектора экономики. Ведение крупномасштабного бизнеса в современных условиях без использования информационных технологий не представляется возможным.</w:t>
      </w:r>
    </w:p>
    <w:p>
      <w:pPr>
        <w:spacing w:after="60"/>
        <w:ind w:firstLine="567"/>
        <w:jc w:val="both"/>
      </w:pPr>
      <w:r>
        <w:rPr>
          <w:rFonts w:ascii="Arial" w:cs="Arial" w:eastAsia="Arial" w:hAnsi="Arial"/>
          <w:sz w:val="24"/>
          <w:szCs w:val="24"/>
        </w:rPr>
        <w:t xml:space="preserve">Для малого и среднего бизнеса интернет дает прекрасную возможность для продвижения. Безусловно, Кыргызская Республика еще очень отстает в развитии и распространенности интернет-бизнеса от развитых стран, что объясняется в первую очередь недостаточной компьютеризацией населения. В узком смысле под интернет-экономикой принято подразумевать "применение современных информационных технологий в бизнесе".</w:t>
      </w:r>
    </w:p>
    <w:p>
      <w:pPr>
        <w:spacing w:after="60"/>
        <w:ind w:firstLine="567"/>
        <w:jc w:val="both"/>
      </w:pPr>
      <w:r>
        <w:rPr>
          <w:rFonts w:ascii="Arial" w:cs="Arial" w:eastAsia="Arial" w:hAnsi="Arial"/>
          <w:sz w:val="24"/>
          <w:szCs w:val="24"/>
        </w:rPr>
        <w:t xml:space="preserve">С наступлением цифровизации, вес информационной экономики постоянно возрастает и ее доля, выраженная в суммарном рабочем времени, для экономически развитых стран уже сегодня составляет 40-60% и ожидается, что к концу века она возрастет еще на 10-15%. При огромном потенциале интернета вклад его в экономику страны все еще мал.</w:t>
      </w:r>
    </w:p>
    <w:p>
      <w:pPr>
        <w:spacing w:after="60"/>
        <w:ind w:firstLine="567"/>
        <w:jc w:val="both"/>
      </w:pPr>
      <w:r>
        <w:rPr>
          <w:rFonts w:ascii="Arial" w:cs="Arial" w:eastAsia="Arial" w:hAnsi="Arial"/>
          <w:sz w:val="24"/>
          <w:szCs w:val="24"/>
        </w:rPr>
        <w:t xml:space="preserve">По доле интернет-экономики ВВП Кыргызской Республики в настоящее время находится на уровне (0,3%), в России и Испании - 2,2% и Италии - 1,9%. Лидерами стали Великобритания - 7,2%, Швеция - 6,6% и Дания - 5,8%.</w:t>
      </w:r>
    </w:p>
    <w:p>
      <w:pPr>
        <w:spacing w:after="60"/>
        <w:ind w:firstLine="567"/>
        <w:jc w:val="both"/>
      </w:pPr>
      <w:r>
        <w:rPr>
          <w:rFonts w:ascii="Arial" w:cs="Arial" w:eastAsia="Arial" w:hAnsi="Arial"/>
          <w:sz w:val="24"/>
          <w:szCs w:val="24"/>
        </w:rPr>
        <w:t xml:space="preserve">В целом Кыргызская Республика по интенсивности использования интернета имеет 0,5% доли в ВВП страны. Россия идет на равных с такими странами, как Словакия, Турция, Бразилия и Малайзия, значительно обгоняя Китай, Индию и Индонезию. При этом Кыргызская Республика все еще заметно отстает от большинства развитых и развивающихся стран, включая страны Центральной Европы: Великобритания (7,2%), Швеция (6,6%) и Дания (5,8%). Однако, в связи с глобализацией процессов экономики в будущем ожидается рост доли интернет-экономики в ВВП. Так как этот показатель также влияет на развитие экономики в целом.</w:t>
      </w:r>
    </w:p>
    <w:p>
      <w:pPr>
        <w:spacing w:after="60"/>
        <w:ind w:firstLine="567"/>
        <w:jc w:val="both"/>
      </w:pPr>
      <w:r>
        <w:rPr>
          <w:rFonts w:ascii="Arial" w:cs="Arial" w:eastAsia="Arial" w:hAnsi="Arial"/>
          <w:sz w:val="24"/>
          <w:szCs w:val="24"/>
        </w:rPr>
        <w:t xml:space="preserve">Доля интернет-экономики ВВП Кыргызской Республики составляет около 0,5%. В нашей стране данный сегмент находится на стадии развития. Мы только учимся применять интернет в предпринимательской деятельности. И операции, осуществляемые через сеть, слабо регулируются государственными органами, следовательно, не облагаются налогами. Однако в недалеком будущем доля интернет-экономики будет расти, так как значимость и возможность интернета увеличиваются.</w:t>
      </w:r>
    </w:p>
    <w:p>
      <w:pPr>
        <w:spacing w:after="60"/>
        <w:ind w:firstLine="567"/>
        <w:jc w:val="both"/>
      </w:pPr>
      <w:r>
        <w:rPr>
          <w:rFonts w:ascii="Arial" w:cs="Arial" w:eastAsia="Arial" w:hAnsi="Arial"/>
          <w:sz w:val="24"/>
          <w:szCs w:val="24"/>
        </w:rPr>
        <w:t xml:space="preserve">По данным Международной мониторинговой организации "InternetWorldStats.com" Кыргызская Республика лидирует среди стран Центральной Азии по уровню проникновения интернета 40%, далее идет Казахстан - 34%, Узбекистан - 17% и т.д. На данный момент в Кыргызской Республике представлено несколько провайдеров интернет-услуг, среди которых большая часть территориально охватывает только столицу республики. Основными провайдерами являются ОАО "Кыргызтелеком", компании "Элкат" и "Акнет".</w:t>
      </w:r>
    </w:p>
    <w:p>
      <w:pPr>
        <w:spacing w:after="60"/>
        <w:ind w:firstLine="567"/>
        <w:jc w:val="both"/>
      </w:pPr>
      <w:r>
        <w:rPr>
          <w:rFonts w:ascii="Arial" w:cs="Arial" w:eastAsia="Arial" w:hAnsi="Arial"/>
          <w:sz w:val="24"/>
          <w:szCs w:val="24"/>
        </w:rPr>
        <w:t xml:space="preserve">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электронной торговле" от 22 декабря 2021 года № 154. Также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вступивший в силу с 1 января 2022 года, дополнен новой главой "Налог на деятельность в сфере электронной торговли", в которой ставка налога установлена в размере 2 процентов. Налог на деятельность в сфере электронной торговли предусматривает уплату налога в отношении деятельности в сфере электронной торговли взамен налога на прибыль, налога на добавленную стоимость на облагаемые поставки, налога с продаж.</w:t>
      </w:r>
    </w:p>
    <w:p>
      <w:pPr>
        <w:spacing w:after="60"/>
        <w:ind w:firstLine="567"/>
        <w:jc w:val="both"/>
      </w:pPr>
      <w:r>
        <w:rPr>
          <w:rFonts w:ascii="Arial" w:cs="Arial" w:eastAsia="Arial" w:hAnsi="Arial"/>
          <w:sz w:val="24"/>
          <w:szCs w:val="24"/>
        </w:rPr>
        <w:t xml:space="preserve">В Кыргызской Республике самые мягкие ограничения при взимании платежей за международные почтовые отправления. Это важный показатель, который позволяет утверждать, что в нашей стране есть серьезные позитивные стимулы роста оборота электронной коммерции. Но такой рост может быть связан, прежде всего, с импортом товаров из других стран без уплаты пошлин, а это в определенной степени отрицательный фактор для развития электронной коммерции внутри страны и экономики в целом, и, кроме того, импорт может снижать поступления в бюджеты различных уровней.</w:t>
      </w:r>
    </w:p>
    <w:p>
      <w:pPr>
        <w:spacing w:after="60"/>
        <w:ind w:firstLine="567"/>
        <w:jc w:val="both"/>
      </w:pPr>
      <w:r>
        <w:rPr>
          <w:rFonts w:ascii="Arial" w:cs="Arial" w:eastAsia="Arial" w:hAnsi="Arial"/>
          <w:sz w:val="24"/>
          <w:szCs w:val="24"/>
        </w:rPr>
        <w:t xml:space="preserve">В структуре электронной коммерции преобладают операции с потребительской электроникой и техникой (42%), одеждой и обувью (13%) и автозапчастями (10%).</w:t>
      </w:r>
    </w:p>
    <w:p>
      <w:pPr>
        <w:spacing w:after="60"/>
        <w:ind w:firstLine="567"/>
        <w:jc w:val="both"/>
      </w:pPr>
      <w:r>
        <w:rPr>
          <w:rFonts w:ascii="Arial" w:cs="Arial" w:eastAsia="Arial" w:hAnsi="Arial"/>
          <w:sz w:val="24"/>
          <w:szCs w:val="24"/>
        </w:rPr>
        <w:t xml:space="preserve">В настоящее время Кыргызская Республика не ведет статистку объемов электронной коммерции в силу отсутствия запроса на ведение таких данных по рынку и четкого определения по каким параметрам оценивать рынок электронной коммерции. Основной оценкой успешности развития электронной коммерции в других странах является показатель доли электронной коммерции от розничного товарооборота в стране. По данным Национального статистического комитета Кыргызской Республики в Кыргызстане ведется учет данных оборота оптовой и розничной торговли в общем по республике и в разрезе областей.</w:t>
      </w:r>
    </w:p>
    <w:p>
      <w:pPr>
        <w:spacing w:after="60"/>
        <w:ind w:firstLine="567"/>
        <w:jc w:val="both"/>
      </w:pPr>
      <w:r>
        <w:rPr>
          <w:rFonts w:ascii="Arial" w:cs="Arial" w:eastAsia="Arial" w:hAnsi="Arial"/>
          <w:sz w:val="24"/>
          <w:szCs w:val="24"/>
        </w:rPr>
        <w:t xml:space="preserve">В настоящее время доступными способами для оплаты за товары и услуги в сфере электронной коммерции являются наличный расчет, банковский перевод, виза эквайринг и электронные кошельки.</w:t>
      </w:r>
    </w:p>
    <w:p>
      <w:pPr>
        <w:spacing w:after="60"/>
        <w:ind w:firstLine="567"/>
        <w:jc w:val="both"/>
      </w:pPr>
      <w:r>
        <w:rPr>
          <w:rFonts w:ascii="Arial" w:cs="Arial" w:eastAsia="Arial" w:hAnsi="Arial"/>
          <w:sz w:val="24"/>
          <w:szCs w:val="24"/>
        </w:rPr>
        <w:t xml:space="preserve">Экономика Кыргызской Республики все еще остается экономикой наличности, которая составляет 90% денежного оборота в стране. Общее число банковских платежных карт в обращении по состоянию на 1 января 2022 года составило 3757,1 тыс. карт. Так, за IV квартал 2021 года доля от общего объема операций с использованием карт по г.Бишкек составила 55%. Наиболее низкий показатель в Таласской области - 2,6%. Одним из сдерживающих факторов являются внутренние сервисные ограничения коммерческих банков, которые ссылаются на жесткое регулирование со стороны Национального банка Кыргызской Республики. Все новые банковские карты по умолчанию заблокированы для онлайн-платежей. Для того, чтобы начать использовать карту для онлайн-покупок необходимо написать заявление и лично присутствовать в банке, что является дополнительным барьером для развития онлайн-покупок.</w:t>
      </w:r>
    </w:p>
    <w:p>
      <w:pPr>
        <w:spacing w:after="60"/>
        <w:ind w:firstLine="567"/>
        <w:jc w:val="both"/>
      </w:pPr>
      <w:r>
        <w:rPr>
          <w:rFonts w:ascii="Arial" w:cs="Arial" w:eastAsia="Arial" w:hAnsi="Arial"/>
          <w:sz w:val="24"/>
          <w:szCs w:val="24"/>
        </w:rPr>
        <w:t xml:space="preserve">Также сдерживающим фактором является отсутствие возможностей осуществлять расчеты между юридическими лицами без использования системы банковских переводов. На сегодняшний день в мировой практике обширно используются альтернативные способы расчетов в электронной коммерции. Юридические лица имеют возможность рассчитываться платежными картами с возможностью выбора валюты расчетов, позволяя исключить двойную конвертацию. Комиссии для интернет-эквайринга варьируются от 1,6% до 4,0% в зависимости от оборота бизнеса, чем больше оборот, тем меньше комиссия. Для интернет-магазинов с небольшим оборотом средняя комиссия составляет около 3%. Высокие комиссии не стимулируют онлайн-бизнесы переходить на полную онлайн-оплату.</w:t>
      </w:r>
    </w:p>
    <w:p>
      <w:pPr>
        <w:spacing w:after="60"/>
        <w:ind w:firstLine="567"/>
        <w:jc w:val="both"/>
      </w:pPr>
      <w:r>
        <w:rPr>
          <w:rFonts w:ascii="Arial" w:cs="Arial" w:eastAsia="Arial" w:hAnsi="Arial"/>
          <w:sz w:val="24"/>
          <w:szCs w:val="24"/>
        </w:rPr>
        <w:t xml:space="preserve">Проблемой, требующей решения и государственного вмешательства, является слабые технические возможности предпринимателей для осуществления продажи (оказание услуги) через интернет, необходимость увеличения товарооборота на экспорт, доступа населения к качественным товарам по доступным ценам.</w:t>
      </w:r>
    </w:p>
    <w:p>
      <w:pPr>
        <w:spacing w:after="60"/>
        <w:ind w:firstLine="567"/>
        <w:jc w:val="both"/>
      </w:pPr>
      <w:r>
        <w:rPr>
          <w:rFonts w:ascii="Arial" w:cs="Arial" w:eastAsia="Arial" w:hAnsi="Arial"/>
          <w:sz w:val="24"/>
          <w:szCs w:val="24"/>
        </w:rPr>
        <w:t xml:space="preserve">В январе-июле 2022 года оборот оптовой и розничной торговли, ремонт автомобилей и мотоциклов сложился в размере 381,2 млрд. сомов. По сравнению с январем-июлем 2021 года объем оборота оптовой и розничной торговли увеличился на 7%. В июле 2022 года объем оборота по сравнению с июлем 2021 года возрос на 46,3%, а по сравнению с предыдущим месяцем 2022 года увеличился в 1,6 раза, что обусловлено ростом объема оборота оптовой и розничной торговли.</w:t>
      </w:r>
    </w:p>
    <w:p>
      <w:pPr>
        <w:spacing w:after="60"/>
        <w:ind w:firstLine="567"/>
        <w:jc w:val="both"/>
      </w:pPr>
      <w:r>
        <w:rPr>
          <w:rFonts w:ascii="Arial" w:cs="Arial" w:eastAsia="Arial" w:hAnsi="Arial"/>
          <w:sz w:val="24"/>
          <w:szCs w:val="24"/>
        </w:rPr>
        <w:t xml:space="preserve">Любой интернет-магазин или иной веб-ресурс, который ориентирован на пользователя, будет так или иначе иметь дело с информацией, позволяющей его идентифицировать. Это может быть логин и пароль, адрес электронной почты, иные сведения, которые пользователь указывает о себе при регистрации на веб-сайте или оформлении заказа.</w:t>
      </w:r>
    </w:p>
    <w:p>
      <w:pPr>
        <w:spacing w:after="60"/>
        <w:ind w:firstLine="567"/>
        <w:jc w:val="both"/>
      </w:pPr>
      <w:r>
        <w:rPr>
          <w:rFonts w:ascii="Arial" w:cs="Arial" w:eastAsia="Arial" w:hAnsi="Arial"/>
          <w:sz w:val="24"/>
          <w:szCs w:val="24"/>
        </w:rPr>
        <w:t xml:space="preserve">В условиях высокой конкуренции, существующей в сети Интернет, а также дефицита внимания со стороны пользователей, обусловленных беспрецедентным многообразием информации, размещенной в ней, центральным объектом становится клиент. В данном случае информация о клиенте считается важным ресурсом, которая может быть использована для различных коммерчески значимых целей (например, для адресной рекламы).</w:t>
      </w:r>
    </w:p>
    <w:p>
      <w:pPr>
        <w:spacing w:after="60"/>
        <w:ind w:firstLine="567"/>
        <w:jc w:val="both"/>
      </w:pPr>
      <w:r>
        <w:rPr>
          <w:rFonts w:ascii="Arial" w:cs="Arial" w:eastAsia="Arial" w:hAnsi="Arial"/>
          <w:sz w:val="24"/>
          <w:szCs w:val="24"/>
        </w:rPr>
        <w:t xml:space="preserve">Современные технологии сбора и обработки информации позволяют составлять достаточно детальные профайлы пользователей, которые содержат данные о предпочтениях и текущих потребностях отдельно взятого пользователя, его индивидуальных характеристиках и позволяют делать предположения о его финансовой состоятельности и платежеспособности. При составлении подобных профайлов могут активно использоваться данные, размещенные пользователем в социальных сетях, информация о нем, размещенная его друзьями в таких сетях, информация о сделанных им запросах в поисковых системах, посещенных сайтах, комментариях в форумах, и любое иное действие, совершенное им в сети Интернет.</w:t>
      </w:r>
    </w:p>
    <w:p>
      <w:pPr>
        <w:spacing w:after="60"/>
        <w:ind w:firstLine="567"/>
        <w:jc w:val="both"/>
      </w:pPr>
      <w:r>
        <w:rPr>
          <w:rFonts w:ascii="Arial" w:cs="Arial" w:eastAsia="Arial" w:hAnsi="Arial"/>
          <w:sz w:val="24"/>
          <w:szCs w:val="24"/>
        </w:rPr>
        <w:t xml:space="preserve">Очевидно, что все это создает уникальные возможности для субъектов электронной коммерции (как, впрочем, и для традиционных офлайновых компаний, которыми они до этого не обладали) вести мониторинг пользователей, а также восполнить недостаток информации, необходимой для принятия коммерчески значимых решений в отношении конкретного клиента.</w:t>
      </w:r>
    </w:p>
    <w:p>
      <w:pPr>
        <w:spacing w:after="60"/>
        <w:ind w:firstLine="567"/>
        <w:jc w:val="both"/>
      </w:pPr>
      <w:r>
        <w:rPr>
          <w:rFonts w:ascii="Arial" w:cs="Arial" w:eastAsia="Arial" w:hAnsi="Arial"/>
          <w:sz w:val="24"/>
          <w:szCs w:val="24"/>
        </w:rPr>
        <w:t xml:space="preserve">Однако, не менее очевидно и то, что сбор и последующее использование информации, связанной с личностью лица и отражающей его индивидуальные характеристики, неразрывно связаны с вторжением в его личную сферу.</w:t>
      </w:r>
    </w:p>
    <w:p>
      <w:pPr>
        <w:spacing w:after="60"/>
        <w:ind w:firstLine="567"/>
        <w:jc w:val="both"/>
      </w:pPr>
      <w:r>
        <w:rPr>
          <w:rFonts w:ascii="Arial" w:cs="Arial" w:eastAsia="Arial" w:hAnsi="Arial"/>
          <w:sz w:val="24"/>
          <w:szCs w:val="24"/>
        </w:rPr>
        <w:t xml:space="preserve">В настоящее время к персональным данным можно отнести, в том числе и информацию, которая сама по себе хотя и не указывает однозначно на имя конкретного лица, но содержит описание каких-либо его индивидуальных характеристик, позволяющих отграничить его от других субъектов, выделить его из круга лиц, к которому он принадлежат, или по крайней мере сузить такой круг лиц.</w:t>
      </w:r>
    </w:p>
    <w:p>
      <w:pPr>
        <w:spacing w:after="60"/>
        <w:ind w:firstLine="567"/>
        <w:jc w:val="both"/>
      </w:pPr>
      <w:r>
        <w:rPr>
          <w:rFonts w:ascii="Arial" w:cs="Arial" w:eastAsia="Arial" w:hAnsi="Arial"/>
          <w:sz w:val="24"/>
          <w:szCs w:val="24"/>
        </w:rPr>
        <w:t xml:space="preserve">Основными требованиями, которые должны предъявляться к обработке персональных данных, являются:</w:t>
      </w:r>
    </w:p>
    <w:p>
      <w:pPr>
        <w:spacing w:after="60"/>
        <w:ind w:firstLine="567"/>
        <w:jc w:val="both"/>
      </w:pPr>
      <w:r>
        <w:rPr>
          <w:rFonts w:ascii="Arial" w:cs="Arial" w:eastAsia="Arial" w:hAnsi="Arial"/>
          <w:sz w:val="24"/>
          <w:szCs w:val="24"/>
        </w:rPr>
        <w:t xml:space="preserve">1) наличие законного основания для такой обработки;</w:t>
      </w:r>
    </w:p>
    <w:p>
      <w:pPr>
        <w:spacing w:after="60"/>
        <w:ind w:firstLine="567"/>
        <w:jc w:val="both"/>
      </w:pPr>
      <w:r>
        <w:rPr>
          <w:rFonts w:ascii="Arial" w:cs="Arial" w:eastAsia="Arial" w:hAnsi="Arial"/>
          <w:sz w:val="24"/>
          <w:szCs w:val="24"/>
        </w:rPr>
        <w:t xml:space="preserve">2) добросовестный характер такой обработки;</w:t>
      </w:r>
    </w:p>
    <w:p>
      <w:pPr>
        <w:spacing w:after="60"/>
        <w:ind w:firstLine="567"/>
        <w:jc w:val="both"/>
      </w:pPr>
      <w:r>
        <w:rPr>
          <w:rFonts w:ascii="Arial" w:cs="Arial" w:eastAsia="Arial" w:hAnsi="Arial"/>
          <w:sz w:val="24"/>
          <w:szCs w:val="24"/>
        </w:rPr>
        <w:t xml:space="preserve">3) принятие организационно-технических мер для выполнения обязанностей оператора и защиты персональных данных, включая требование локализации отдельных процессов их обработки;</w:t>
      </w:r>
    </w:p>
    <w:p>
      <w:pPr>
        <w:spacing w:after="60"/>
        <w:ind w:firstLine="567"/>
        <w:jc w:val="both"/>
      </w:pPr>
      <w:r>
        <w:rPr>
          <w:rFonts w:ascii="Arial" w:cs="Arial" w:eastAsia="Arial" w:hAnsi="Arial"/>
          <w:sz w:val="24"/>
          <w:szCs w:val="24"/>
        </w:rPr>
        <w:t xml:space="preserve">4) соблюдение особых требований к трансграничной передаче персональных данных;</w:t>
      </w:r>
    </w:p>
    <w:p>
      <w:pPr>
        <w:spacing w:after="60"/>
        <w:ind w:firstLine="567"/>
        <w:jc w:val="both"/>
      </w:pPr>
      <w:r>
        <w:rPr>
          <w:rFonts w:ascii="Arial" w:cs="Arial" w:eastAsia="Arial" w:hAnsi="Arial"/>
          <w:sz w:val="24"/>
          <w:szCs w:val="24"/>
        </w:rPr>
        <w:t xml:space="preserve">5) в подлежащих случая - направление уведомления в уполномоченный орган об обработке персональных данных.</w:t>
      </w:r>
    </w:p>
    <w:p>
      <w:pPr>
        <w:spacing w:after="60"/>
        <w:ind w:firstLine="567"/>
        <w:jc w:val="both"/>
      </w:pPr>
      <w:r>
        <w:rPr>
          <w:rFonts w:ascii="Arial" w:cs="Arial" w:eastAsia="Arial" w:hAnsi="Arial"/>
          <w:sz w:val="24"/>
          <w:szCs w:val="24"/>
        </w:rPr>
        <w:t xml:space="preserve">Необходимо, чтобы обработка персональных данных осуществлялась в соответствии со следующими принципами:</w:t>
      </w:r>
    </w:p>
    <w:p>
      <w:pPr>
        <w:spacing w:after="60"/>
        <w:ind w:firstLine="567"/>
        <w:jc w:val="both"/>
      </w:pPr>
      <w:r>
        <w:rPr>
          <w:rFonts w:ascii="Arial" w:cs="Arial" w:eastAsia="Arial" w:hAnsi="Arial"/>
          <w:sz w:val="24"/>
          <w:szCs w:val="24"/>
        </w:rPr>
        <w:t xml:space="preserve">1. Обработка персональных данных должна осуществляться на законной и справедливой основе.</w:t>
      </w:r>
    </w:p>
    <w:p>
      <w:pPr>
        <w:spacing w:after="60"/>
        <w:ind w:firstLine="567"/>
        <w:jc w:val="both"/>
      </w:pPr>
      <w:r>
        <w:rPr>
          <w:rFonts w:ascii="Arial" w:cs="Arial" w:eastAsia="Arial" w:hAnsi="Arial"/>
          <w:sz w:val="24"/>
          <w:szCs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(принцип спецификации цели).</w:t>
      </w:r>
    </w:p>
    <w:p>
      <w:pPr>
        <w:spacing w:after="60"/>
        <w:ind w:firstLine="567"/>
        <w:jc w:val="both"/>
      </w:pPr>
      <w:r>
        <w:rPr>
          <w:rFonts w:ascii="Arial" w:cs="Arial" w:eastAsia="Arial" w:hAnsi="Arial"/>
          <w:sz w:val="24"/>
          <w:szCs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spacing w:after="60"/>
        <w:ind w:firstLine="567"/>
        <w:jc w:val="both"/>
      </w:pPr>
      <w:r>
        <w:rPr>
          <w:rFonts w:ascii="Arial" w:cs="Arial" w:eastAsia="Arial" w:hAnsi="Arial"/>
          <w:sz w:val="24"/>
          <w:szCs w:val="24"/>
        </w:rPr>
        <w:t xml:space="preserve">4.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(принцип минимизации данных).</w:t>
      </w:r>
    </w:p>
    <w:p>
      <w:pPr>
        <w:spacing w:after="60"/>
        <w:ind w:firstLine="567"/>
        <w:jc w:val="both"/>
      </w:pPr>
      <w:r>
        <w:rPr>
          <w:rFonts w:ascii="Arial" w:cs="Arial" w:eastAsia="Arial" w:hAnsi="Arial"/>
          <w:sz w:val="24"/>
          <w:szCs w:val="24"/>
        </w:rPr>
        <w:t xml:space="preserve">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(принцип обеспечения качества данных).</w:t>
      </w:r>
    </w:p>
    <w:p>
      <w:pPr>
        <w:spacing w:after="60"/>
        <w:ind w:firstLine="567"/>
        <w:jc w:val="both"/>
      </w:pPr>
      <w:r>
        <w:rPr>
          <w:rFonts w:ascii="Arial" w:cs="Arial" w:eastAsia="Arial" w:hAnsi="Arial"/>
          <w:sz w:val="24"/>
          <w:szCs w:val="24"/>
        </w:rPr>
        <w:t xml:space="preserve">6.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w:t>
      </w:r>
    </w:p>
    <w:p>
      <w:pPr>
        <w:spacing w:after="60"/>
        <w:ind w:firstLine="567"/>
        <w:jc w:val="both"/>
      </w:pPr>
      <w:r>
        <w:rPr>
          <w:rFonts w:ascii="Arial" w:cs="Arial" w:eastAsia="Arial" w:hAnsi="Arial"/>
          <w:sz w:val="24"/>
          <w:szCs w:val="24"/>
        </w:rPr>
        <w:t xml:space="preserve">Любые, даже наиболее продуманные законодательные положения обречены на декларативность в отсутствие реальных мер по их приведению в жизнь, выполняющие роль своего рода мостика между абстрактными требованиями закона и реальной практикой, сложившейся в сфере регулируемых отношений. Неудивительно, что законодательство о персональных данных, само появление которого стало следствием развития информационных технологий и обусловленных ими проблем, содержит ряд положений, регламентирующих технические аспекты защиты персональных данных. Однако, как известно, законодательство не может успеть за развитием технологий и его положения весьма быстро и неизбежно устаревают в этой части.</w:t>
      </w:r>
    </w:p>
    <w:p>
      <w:pPr>
        <w:spacing w:after="60"/>
        <w:ind w:firstLine="567"/>
        <w:jc w:val="both"/>
      </w:pPr>
      <w:r>
        <w:rPr>
          <w:rFonts w:ascii="Arial" w:cs="Arial" w:eastAsia="Arial" w:hAnsi="Arial"/>
          <w:sz w:val="24"/>
          <w:szCs w:val="24"/>
        </w:rPr>
        <w:t xml:space="preserve">Отсюда возникает основная проблема, связанная с обеспечением соблюдения положений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 отсутствие четкого представления о том, какие организационно-технические меры являются необходимыми и достаточными для того, чтобы не было оснований для привлечения оператора к ответственности за нарушение требований законности. Идентификация и последующая реализация таких мер составляет основное бремя законопослушного оператора персональных данных, и нередко он не в состоянии самостоятельно справиться с данной задачей.</w:t>
      </w:r>
    </w:p>
    <w:p>
      <w:pPr>
        <w:spacing w:after="200" w:before="200"/>
        <w:jc w:val="center"/>
      </w:pPr>
      <w:r>
        <w:rPr>
          <w:rFonts w:ascii="Arial" w:cs="Arial" w:eastAsia="Arial" w:hAnsi="Arial"/>
          <w:b/>
          <w:bCs/>
          <w:sz w:val="24"/>
          <w:szCs w:val="24"/>
        </w:rPr>
        <w:t xml:space="preserve">2. Достижения и проблемы в сфере развития и поддержки электронной коммерции в Кыргызской Республике</w:t>
      </w:r>
    </w:p>
    <w:p>
      <w:pPr>
        <w:spacing w:after="60"/>
        <w:ind w:firstLine="567"/>
        <w:jc w:val="both"/>
      </w:pPr>
      <w:r>
        <w:rPr>
          <w:rFonts w:ascii="Arial" w:cs="Arial" w:eastAsia="Arial" w:hAnsi="Arial"/>
          <w:sz w:val="24"/>
          <w:szCs w:val="24"/>
        </w:rPr>
        <w:t xml:space="preserve">Развитие сектора информационно-коммуникационных технологий (далее - ИКТ) в стране является положительным примером государственного регулирования, который позволил сформировать мощный кадровый потенциал экспортирующих фирм, работающих, главным образом, через Парк высоких технологий. За период с 2014 по 2018 год число ИТ-компаний, экспортирующих более 80% своих услуг за рубеж, выросло в 5 раз. Возможно, местный рынок не был в центре внимания этих фирм, тем не менее, рост активности в сфере электронной торговли и, как следствие, спрос на качественные услуги по поддержке ИТ могут изменить ситуацию.</w:t>
      </w:r>
    </w:p>
    <w:p>
      <w:pPr>
        <w:spacing w:after="60"/>
        <w:ind w:firstLine="567"/>
        <w:jc w:val="both"/>
      </w:pPr>
      <w:r>
        <w:rPr>
          <w:rFonts w:ascii="Arial" w:cs="Arial" w:eastAsia="Arial" w:hAnsi="Arial"/>
          <w:sz w:val="24"/>
          <w:szCs w:val="24"/>
        </w:rPr>
        <w:t xml:space="preserve">В целом, готовность Кыргызской Республики к электронной торговле, оцениваемая по целому ряду индексов, включая индекс электронной торговли В2С (взаимодействие "бизнес - потребитель") Конференции Организации Объединенных Наций по торговле и развитию, индекс развития ИКТ Международного союза электросвязи Организации Объединенных Наций, отстает от других стран в регионе (за исключением Таджикистана). Рост развития за последнее десятилетие был впечатляющим с относительной точки зрения, однако в глобальном масштабе сектор электронной торговли республики все еще находится на ранних стадиях развития.</w:t>
      </w:r>
    </w:p>
    <w:p>
      <w:pPr>
        <w:spacing w:after="60"/>
        <w:ind w:firstLine="567"/>
        <w:jc w:val="both"/>
      </w:pPr>
      <w:r>
        <w:rPr>
          <w:rFonts w:ascii="Arial" w:cs="Arial" w:eastAsia="Arial" w:hAnsi="Arial"/>
          <w:sz w:val="24"/>
          <w:szCs w:val="24"/>
        </w:rPr>
        <w:t xml:space="preserve">В настоящее время в республике действует 257(1) веб-сайтов, связанных с электронной торговлей, 72% из которых являются универсальными магазинами, а 28% - интернет-магазинами с узким профилем деятельности. Примерно 18% интернет-магазинов принимают к оплате кредитные карты на своих платформах. Основными категориями товаров, реализуемых на внутреннем рынке, являются цветы и подарки, бытовая техника, одежда и обувь.</w:t>
      </w:r>
    </w:p>
    <w:p>
      <w:pPr>
        <w:spacing w:after="60"/>
        <w:ind w:firstLine="567"/>
        <w:jc w:val="both"/>
      </w:pPr>
      <w:r>
        <w:rPr>
          <w:rFonts w:ascii="Arial" w:cs="Arial" w:eastAsia="Arial" w:hAnsi="Arial"/>
          <w:sz w:val="24"/>
          <w:szCs w:val="24"/>
        </w:rPr>
        <w:t xml:space="preserve">Общая бизнес-среда для малого и среднего предпринимательства (далее - МСП) тоже слаба, что является характерной проблемой для постсоветских государств с традиционным фокусом на непроизводительные государственные предприятия. Нормативная правовая база и стимулы, в целом, не направлены на поддержку МСП, а особенно МСП, осуществляющих деятельность в цифровом формате. Доступ к финансированию является одной из основных проблем: большинство кредитных линий, предлагаемых для малого и среднего бизнеса, ограничивается сроком лишь на 1-2 года, незначительное количество кредитов предоставляется на срок от 4 до 5 лет(2).</w:t>
      </w:r>
    </w:p>
    <w:p>
      <w:pPr>
        <w:spacing w:after="60"/>
        <w:ind w:firstLine="567"/>
        <w:jc w:val="both"/>
      </w:pPr>
      <w:r>
        <w:rPr>
          <w:rFonts w:ascii="Arial" w:cs="Arial" w:eastAsia="Arial" w:hAnsi="Arial"/>
          <w:sz w:val="24"/>
          <w:szCs w:val="24"/>
        </w:rPr>
        <w:t xml:space="preserve">Будущий экономический рост будет зависеть от того, насколько хорошо Кыргызская Республика сможет использовать потенциал производственных секторов экономики. Настоятельная необходимость диверсификации обусловлена волатильностью, проявляющейся на товарных рынках, которая, по всей вероятности, будет продолжаться. Признавая эти проблемы, Кыргызская Республика ускорила усилия по развитию производственных секторов. Также в настоящее время предпринимается ряд усилий по развитию экспортного потенциала предприятий.</w:t>
      </w:r>
    </w:p>
    <w:p>
      <w:pPr>
        <w:spacing w:after="60"/>
        <w:ind w:firstLine="567"/>
        <w:jc w:val="both"/>
      </w:pPr>
      <w:r>
        <w:rPr>
          <w:rFonts w:ascii="Arial" w:cs="Arial" w:eastAsia="Arial" w:hAnsi="Arial"/>
          <w:sz w:val="24"/>
          <w:szCs w:val="24"/>
        </w:rPr>
        <w:t xml:space="preserve">Существует ряд производственных секторов, которые могут служить первопроходцами или "точками отсчета" для электронной торговли. К ним относятся туризм, ремесленный сектор, агропромышленность (особенно мед и молочная продукция), легкая промышленность и ИТ-услуги. Каждый из этих секторов в последние годы получил значительную поддержку в своем развитии со стороны правительства и партнеров по развитию и можно с уверенностью предположить, что они обладают относительно высоким потенциалом освоения инициатив, связанных с электронной торговлей. Все сектора с высоким потенциалом электронной торговли определены в качестве основных приоритетных секторов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Современная национальная платежная система "Элкарт" (участниками которой являются все коммерческие банки) обеспечила возможность оплачивать за товары и услуги по всей территории страны. Кроме того, для удобства пользователей карт "Элкарт" разработано мобильное приложение "Элкарт Мобайл" оператора национальной платежной системы. Приложение позволяет осуществлять переводы между своими картами, а также на другие карты "Элкарт" любого коммерческого банка, просматривать баланс счета, пополнять баланс мобильного телефона, электронных кошельков, оплачивать коммунальные услуги, штрафы за нарушение правил дорожного движения и многое другое. Также необходимо отметить, что интеграция между национальной платежной системой "Элкарт" и национальными платежными системами стран Евразийского экономического союза (далее - ЕАЭС) позволяет совершать платежи с использованием карт "Элкарт" за пределами Кыргызской Республики в сети национальной платежной системы "Мир" и платежных систем-партнеров.</w:t>
      </w:r>
    </w:p>
    <w:p>
      <w:pPr>
        <w:spacing w:after="60"/>
        <w:ind w:firstLine="567"/>
        <w:jc w:val="both"/>
      </w:pPr>
      <w:r>
        <w:rPr>
          <w:rFonts w:ascii="Arial" w:cs="Arial" w:eastAsia="Arial" w:hAnsi="Arial"/>
          <w:sz w:val="24"/>
          <w:szCs w:val="24"/>
        </w:rPr>
        <w:t xml:space="preserve">В секторе электронной торговли страны происходят ощутимые и значимые сдвиги, обусловленные благоприятными факторами, упомянутыми выше. Однако, отмечаются также сложные вопросы, которые ставят под угрозу дальнейший рост сектора.</w:t>
      </w:r>
    </w:p>
    <w:p>
      <w:pPr>
        <w:spacing w:after="60"/>
        <w:ind w:firstLine="567"/>
        <w:jc w:val="both"/>
      </w:pPr>
      <w:r>
        <w:rPr>
          <w:rFonts w:ascii="Arial" w:cs="Arial" w:eastAsia="Arial" w:hAnsi="Arial"/>
          <w:sz w:val="24"/>
          <w:szCs w:val="24"/>
        </w:rPr>
        <w:t xml:space="preserve">За последние пять лет сектор электронной торговли демонстрирует быстрый рост. Как подтверждается в настоящем документе, движущие силы роста, равно как и сдерживающие факторы, достаточно сильные. При этом потребуется тщательная проработка вопроса, чтобы спрос и предложение в секторе электронной торговли развивались в тандеме и наряду с улучшениями во всей экосистеме электронной торговли.</w:t>
      </w:r>
    </w:p>
    <w:p>
      <w:pPr>
        <w:spacing w:after="60"/>
        <w:ind w:firstLine="567"/>
        <w:jc w:val="both"/>
      </w:pPr>
      <w:r>
        <w:rPr>
          <w:rFonts w:ascii="Arial" w:cs="Arial" w:eastAsia="Arial" w:hAnsi="Arial"/>
          <w:sz w:val="24"/>
          <w:szCs w:val="24"/>
        </w:rPr>
        <w:t xml:space="preserve">По оценке Международного валютного фонда в Кыргызской Республике необходимы всесторонние структурные реформы в области формирования навыков, регулирования предпринимательской деятельности, инфраструктуры и институтов.</w:t>
      </w:r>
    </w:p>
    <w:p>
      <w:pPr>
        <w:spacing w:after="60"/>
        <w:ind w:firstLine="567"/>
        <w:jc w:val="both"/>
      </w:pPr>
      <w:r>
        <w:rPr>
          <w:rFonts w:ascii="Arial" w:cs="Arial" w:eastAsia="Arial" w:hAnsi="Arial"/>
          <w:sz w:val="24"/>
          <w:szCs w:val="24"/>
        </w:rPr>
        <w:t xml:space="preserve">В настоящее время Кыргызская Республика стремится позиционировать страну в качестве цифрового центра Центральной Азии, и с точки зрения политики и регулирования оно добилось значительных успехов. Кабинет Министров Кыргызской Республики стремится создать новую модель экономического роста, интегрировав Кыргызстан в глобальную цифровую экономику и обеспечив сочетание лидерства частного сектора и технологического прорыва при государственной поддержке инноваций.</w:t>
      </w:r>
    </w:p>
    <w:p>
      <w:pPr>
        <w:spacing w:after="60"/>
        <w:ind w:firstLine="567"/>
        <w:jc w:val="both"/>
      </w:pPr>
      <w:r>
        <w:rPr>
          <w:rFonts w:ascii="Arial" w:cs="Arial" w:eastAsia="Arial" w:hAnsi="Arial"/>
          <w:sz w:val="24"/>
          <w:szCs w:val="24"/>
        </w:rPr>
        <w:t xml:space="preserve">Первоначальная интеграция Национальной стратегии устойчивого развития 2013-2017 годы заложила основу для вклада ИКТ в развитие страны. Среди ее целей упрощение полного доступа к ИКТ для всех населенных пунктов, а также внедрение электронного управления в рамках национальной повестки дня в области управления. Эти амбициозные цели были частично достигнуты, а извлеченные уроки были включены в Национальную стратегию развития Кыргызской Республики на 2018-2040 годы. Ожидается, что стратегия будет реализована в рамках пятилетних программ национального развития, а нынешняя итерация охватывает период с 2018 года по 2022 год.</w:t>
      </w:r>
    </w:p>
    <w:p>
      <w:pPr>
        <w:spacing w:after="60"/>
        <w:ind w:firstLine="567"/>
        <w:jc w:val="both"/>
      </w:pPr>
      <w:r>
        <w:rPr>
          <w:rFonts w:ascii="Arial" w:cs="Arial" w:eastAsia="Arial" w:hAnsi="Arial"/>
          <w:sz w:val="24"/>
          <w:szCs w:val="24"/>
        </w:rPr>
        <w:t xml:space="preserve">Система электронного взаимодействия "Тундук" позволила государственным и муниципальным органам власти, а также юридическим лицам обмениваться данными, необходимыми для оказания услуг гражданам и организациям в электронном виде. Система является ядром национальной повестки дня в области электронного правительства и внедряется </w:t>
      </w:r>
      <w:r>
        <w:rPr>
          <w:rFonts w:ascii="Arial" w:cs="Arial" w:eastAsia="Arial" w:hAnsi="Arial"/>
          <w:sz w:val="24"/>
          <w:szCs w:val="24"/>
        </w:rPr>
        <w:t xml:space="preserve">открытым акционерным обществом "Тундук"</w:t>
      </w:r>
      <w:r>
        <w:rPr>
          <w:rFonts w:ascii="Arial" w:cs="Arial" w:eastAsia="Arial" w:hAnsi="Arial"/>
          <w:sz w:val="24"/>
          <w:szCs w:val="24"/>
        </w:rPr>
        <w:t xml:space="preserve">. Ощутимая польза заключается в том, что практика требовать представления дополнительной отчетности, справок и документов будет прекращена; любая сделка, проходящая через систему "Тундук", автоматически подписывается и становится документом.</w:t>
      </w:r>
    </w:p>
    <w:p>
      <w:pPr>
        <w:spacing w:after="60"/>
        <w:ind w:firstLine="567"/>
        <w:jc w:val="both"/>
      </w:pPr>
      <w:r>
        <w:rPr>
          <w:rFonts w:ascii="Arial" w:cs="Arial" w:eastAsia="Arial" w:hAnsi="Arial"/>
          <w:sz w:val="24"/>
          <w:szCs w:val="24"/>
        </w:rPr>
        <w:t xml:space="preserve">В 2021 году в режиме онлайн было предоставлено 510 государственных услуг - в том числе регистрация собственности (недвижимого имущества), налоговые услуги (отчетность, уплата налогов и сборов), таможенные услуги, государственные закупки, электронные визы.</w:t>
      </w:r>
    </w:p>
    <w:p>
      <w:pPr>
        <w:spacing w:after="60"/>
        <w:ind w:firstLine="567"/>
        <w:jc w:val="both"/>
      </w:pPr>
      <w:r>
        <w:rPr>
          <w:rFonts w:ascii="Arial" w:cs="Arial" w:eastAsia="Arial" w:hAnsi="Arial"/>
          <w:sz w:val="24"/>
          <w:szCs w:val="24"/>
        </w:rPr>
        <w:t xml:space="preserve">Кыргызская Республика занимает второе место в Центральной Азии по уровню развития электронного правительства(3).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Рейтинг стран Центральной Азии по развитию
 электронного правительства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Страна</w:t>
      </w:r>
      <w:r>
        <w:rPr>
          <w:rFonts w:ascii="Arial" w:cs="Arial" w:eastAsia="Arial" w:hAnsi="Arial"/>
          <w:sz w:val="24"/>
          <w:szCs w:val="24"/>
        </w:rPr>
        <w:t xml:space="preserve">	</w:t>
      </w:r>
      <w:r>
        <w:rPr>
          <w:rFonts w:ascii="Arial" w:cs="Arial" w:eastAsia="Arial" w:hAnsi="Arial"/>
          <w:b/>
          <w:bCs/>
          <w:sz w:val="24"/>
          <w:szCs w:val="24"/>
        </w:rPr>
        <w:t xml:space="preserve">Изменение</w:t>
      </w:r>
    </w:p>
    <w:p>
      <w:pPr>
        <w:tabs>
          <w:tab w:val="right" w:pos="10178"/>
        </w:tabs>
        <w:spacing w:after="120"/>
      </w:pPr>
      <w:r>
        <w:rPr>
          <w:rFonts w:ascii="Arial" w:cs="Arial" w:eastAsia="Arial" w:hAnsi="Arial"/>
          <w:sz w:val="24"/>
          <w:szCs w:val="24"/>
        </w:rPr>
        <w:t xml:space="preserve">Казахстан</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Кыргызстан</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Узбекистан</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Таджикистан</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Туркменистан</w:t>
      </w:r>
      <w:r>
        <w:rPr>
          <w:rFonts w:ascii="Arial" w:cs="Arial" w:eastAsia="Arial" w:hAnsi="Arial"/>
          <w:sz w:val="24"/>
          <w:szCs w:val="24"/>
        </w:rPr>
        <w:t xml:space="preserve">	</w:t>
      </w:r>
      <w:r>
        <w:rPr>
          <w:rFonts w:ascii="Arial" w:cs="Arial" w:eastAsia="Arial" w:hAnsi="Arial"/>
          <w:sz w:val="24"/>
          <w:szCs w:val="24"/>
        </w:rPr>
        <w:t xml:space="preserve">-11</w:t>
      </w:r>
    </w:p>
    <w:p>
      <w:pPr>
        <w:spacing w:after="60" w:before="120"/>
        <w:ind w:firstLine="567"/>
        <w:jc w:val="both"/>
      </w:pPr>
      <w:r>
        <w:rPr>
          <w:rFonts w:ascii="Arial" w:cs="Arial" w:eastAsia="Arial" w:hAnsi="Arial"/>
          <w:sz w:val="24"/>
          <w:szCs w:val="24"/>
        </w:rPr>
        <w:t xml:space="preserve">Кыргызской Республикой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электронной торговле", который значительно расширил и прояснил правовые рамки, в которых будут действовать кыргызские и международные операторы электронной торговли. Однако, в целях внедрения международных норм кроме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электронной торговле" внесены ряд изменений в законодательные акты в сфере защиты персональной информации, публичных и муниципальных услугах, налогообложения.</w:t>
      </w:r>
    </w:p>
    <w:p>
      <w:pPr>
        <w:spacing w:after="60"/>
        <w:ind w:firstLine="567"/>
        <w:jc w:val="both"/>
      </w:pPr>
      <w:r>
        <w:rPr>
          <w:rFonts w:ascii="Arial" w:cs="Arial" w:eastAsia="Arial" w:hAnsi="Arial"/>
          <w:sz w:val="24"/>
          <w:szCs w:val="24"/>
        </w:rPr>
        <w:t xml:space="preserve">В свою очередь, важным и необходимым остается развитие центров международной торговой логистики (далее - ЦТЛ), развитие которых решают проблемы с удаленностью и географическим положением страны, отсутствием выхода к морю, и ограниченным доступом к транспортным коридорам. Создание ЦТЛ позволяет компаниям, особенно малым и средним предприятиям, следить за улучшением управления запасами, эффективной упаковкой и обработкой, защищаться от колебаний цен и улучшать управление рисками.</w:t>
      </w:r>
    </w:p>
    <w:p>
      <w:pPr>
        <w:spacing w:after="60"/>
        <w:ind w:firstLine="567"/>
        <w:jc w:val="both"/>
      </w:pPr>
      <w:r>
        <w:rPr>
          <w:rFonts w:ascii="Arial" w:cs="Arial" w:eastAsia="Arial" w:hAnsi="Arial"/>
          <w:sz w:val="24"/>
          <w:szCs w:val="24"/>
        </w:rPr>
        <w:t xml:space="preserve">В настоящее время существует лишь несколько крупных логистических предприятий, которые могли бы предоставить весь комплекс логистических услуг, необходимых для малого и среднего бизнеса, включая складирование, перевалку, переработку товаров и другие услуги с использованием самых инновационных технологий, а также услуги по страхованию и таможенному оформлению. Большинство МСП не имеют доступа к современным транспортным и/или логистическим услугам, необходимым для эффективной международной торговли. Кроме того, уровень контейнерных перевозок недостаточен для большинства компаний. Действительно, Кыргызская Республика является одной из наиболее неблагополучных в плане логистики стран, даже среди стран, не имеющих выхода к морю, и за последнее десятилетие не удалось добиться существенного прогресса в улучшении логистики(4).</w:t>
      </w:r>
    </w:p>
    <w:p>
      <w:pPr>
        <w:spacing w:after="60"/>
        <w:ind w:firstLine="567"/>
        <w:jc w:val="both"/>
      </w:pPr>
      <w:r>
        <w:rPr>
          <w:rFonts w:ascii="Arial" w:cs="Arial" w:eastAsia="Arial" w:hAnsi="Arial"/>
          <w:sz w:val="24"/>
          <w:szCs w:val="24"/>
        </w:rPr>
        <w:t xml:space="preserve">Минимальный порог (de minimis) (ввоз товаров для личного пользования) был снижен до 200 евро (по сравнению с предыдущим значением 500 евро), лимит веса 31 кг остается неизменным. Однако эти пороговые значения будут применяться уже не в течение календарного месяца, а в расчете на одну отправку. Кроме того, штрафные санкции будут снижены до 15% от стоимости при превышении порогового значения или 2 евро за килограмм. В зависимости от того, как они будут реализованы, снижение минимального порога может и не оказать негативного влияния на таможенную очистку посылок электронной торговли как таковых, поскольку они по-прежнему соответствуют рекомендациям по упрощению процедур торговли Всемирной Торговой Организации (далее - ВТО).</w:t>
      </w:r>
    </w:p>
    <w:p>
      <w:pPr>
        <w:spacing w:after="60"/>
        <w:ind w:firstLine="567"/>
        <w:jc w:val="both"/>
      </w:pPr>
      <w:r>
        <w:rPr>
          <w:rFonts w:ascii="Arial" w:cs="Arial" w:eastAsia="Arial" w:hAnsi="Arial"/>
          <w:sz w:val="24"/>
          <w:szCs w:val="24"/>
        </w:rPr>
        <w:t xml:space="preserve">Уровень проверок отправлений соответствует лучшей мировой практике и должен быть сохранен. Решение 104 Евразийской экономической комиссии о режиме работы с грузами электронной торговли В2С (взаимодействие "бизнес - потребитель") является положительным вкладом в развитие трансграничной электронной торговли(5).</w:t>
      </w:r>
    </w:p>
    <w:p>
      <w:pPr>
        <w:spacing w:after="60"/>
        <w:ind w:firstLine="567"/>
        <w:jc w:val="both"/>
      </w:pPr>
      <w:r>
        <w:rPr>
          <w:rFonts w:ascii="Arial" w:cs="Arial" w:eastAsia="Arial" w:hAnsi="Arial"/>
          <w:sz w:val="24"/>
          <w:szCs w:val="24"/>
        </w:rPr>
        <w:t xml:space="preserve">Трансграничная электронная торговля увеличивает частоту небольших потоков посылок, что положительно сказывается на объемах торговли. Однако, таможенные органы стран Центральной Азии сообщают о невозможности удовлетворения объема грузопотоков и перегрузке таможенных органов большими потоками мелких партий, использующих бумажные таможенные системы, неопределенность применения новых международных правил по борьбе с терроризмом и отмыванием денег, применяемым к небольшим партиям, а также проблеме, связанной с оценкой и начисления таможенных пошлин посылок, где традиционные почтовые службы пользуются преференциями, закрепленными в международных соглашениях.</w:t>
      </w:r>
    </w:p>
    <w:p>
      <w:pPr>
        <w:spacing w:after="200" w:before="200"/>
        <w:jc w:val="center"/>
      </w:pPr>
      <w:r>
        <w:rPr>
          <w:rFonts w:ascii="Arial" w:cs="Arial" w:eastAsia="Arial" w:hAnsi="Arial"/>
          <w:b/>
          <w:bCs/>
          <w:sz w:val="24"/>
          <w:szCs w:val="24"/>
        </w:rPr>
        <w:t xml:space="preserve">3. Основные цели и приоритеты Программы</w:t>
      </w:r>
    </w:p>
    <w:p>
      <w:pPr>
        <w:spacing w:after="60"/>
        <w:ind w:firstLine="567"/>
        <w:jc w:val="both"/>
      </w:pPr>
      <w:r>
        <w:rPr>
          <w:rFonts w:ascii="Arial" w:cs="Arial" w:eastAsia="Arial" w:hAnsi="Arial"/>
          <w:sz w:val="24"/>
          <w:szCs w:val="24"/>
        </w:rPr>
        <w:t xml:space="preserve">Целью настоящей Программы является проведение реформ, которые должны быть направлены на оптимизацию государственного регулирования, улучшение качества институциональной среды и создание благоприятных условий для развития электронной коммерции в Кыргызской Республике.</w:t>
      </w:r>
    </w:p>
    <w:p>
      <w:pPr>
        <w:spacing w:after="60"/>
        <w:ind w:firstLine="567"/>
        <w:jc w:val="both"/>
      </w:pPr>
      <w:r>
        <w:rPr>
          <w:rFonts w:ascii="Arial" w:cs="Arial" w:eastAsia="Arial" w:hAnsi="Arial"/>
          <w:sz w:val="24"/>
          <w:szCs w:val="24"/>
        </w:rPr>
        <w:t xml:space="preserve">Для достижения целей настоящая Программа будет сосредоточена на следующих приоритетах:</w:t>
      </w:r>
    </w:p>
    <w:p>
      <w:pPr>
        <w:spacing w:after="60"/>
        <w:ind w:firstLine="567"/>
        <w:jc w:val="both"/>
      </w:pPr>
      <w:r>
        <w:rPr>
          <w:rFonts w:ascii="Arial" w:cs="Arial" w:eastAsia="Arial" w:hAnsi="Arial"/>
          <w:sz w:val="24"/>
          <w:szCs w:val="24"/>
        </w:rPr>
        <w:t xml:space="preserve">1) сокращение издержек участников электронной коммерции, защищенность и обеспечение безопасности их деятельности, как основы для развития частной инвестиционной деятельности;</w:t>
      </w:r>
    </w:p>
    <w:p>
      <w:pPr>
        <w:spacing w:after="60"/>
        <w:ind w:firstLine="567"/>
        <w:jc w:val="both"/>
      </w:pPr>
      <w:r>
        <w:rPr>
          <w:rFonts w:ascii="Arial" w:cs="Arial" w:eastAsia="Arial" w:hAnsi="Arial"/>
          <w:sz w:val="24"/>
          <w:szCs w:val="24"/>
        </w:rPr>
        <w:t xml:space="preserve">2) продвижение инвестиций, повышение конкурентоспособности товаров и содействие экспорту;</w:t>
      </w:r>
    </w:p>
    <w:p>
      <w:pPr>
        <w:spacing w:after="60"/>
        <w:ind w:firstLine="567"/>
        <w:jc w:val="both"/>
      </w:pPr>
      <w:r>
        <w:rPr>
          <w:rFonts w:ascii="Arial" w:cs="Arial" w:eastAsia="Arial" w:hAnsi="Arial"/>
          <w:sz w:val="24"/>
          <w:szCs w:val="24"/>
        </w:rPr>
        <w:t xml:space="preserve">3) совершенствование финансовой инфраструктуры и расширение доступа к финансовым услугам субъектов предпринимательства электронной коммерции;</w:t>
      </w:r>
    </w:p>
    <w:p>
      <w:pPr>
        <w:spacing w:after="60"/>
        <w:ind w:firstLine="567"/>
        <w:jc w:val="both"/>
      </w:pPr>
      <w:r>
        <w:rPr>
          <w:rFonts w:ascii="Arial" w:cs="Arial" w:eastAsia="Arial" w:hAnsi="Arial"/>
          <w:sz w:val="24"/>
          <w:szCs w:val="24"/>
        </w:rPr>
        <w:t xml:space="preserve">4) поддержка и содействие в подготовке и переподготовке кадров, развитие навыков и инициатив у субъектов цифрового предпринимательства.</w:t>
      </w:r>
    </w:p>
    <w:p>
      <w:pPr>
        <w:spacing w:after="200" w:before="200"/>
        <w:jc w:val="center"/>
      </w:pPr>
      <w:r>
        <w:rPr>
          <w:rFonts w:ascii="Arial" w:cs="Arial" w:eastAsia="Arial" w:hAnsi="Arial"/>
          <w:b/>
          <w:bCs/>
          <w:sz w:val="24"/>
          <w:szCs w:val="24"/>
        </w:rPr>
        <w:t xml:space="preserve">4. Задачи и меры Программы</w:t>
      </w:r>
    </w:p>
    <w:p>
      <w:pPr>
        <w:spacing w:after="60"/>
        <w:ind w:firstLine="567"/>
        <w:jc w:val="both"/>
      </w:pPr>
      <w:r>
        <w:rPr>
          <w:rFonts w:ascii="Arial" w:cs="Arial" w:eastAsia="Arial" w:hAnsi="Arial"/>
          <w:sz w:val="24"/>
          <w:szCs w:val="24"/>
        </w:rPr>
        <w:t xml:space="preserve">Настоящая Программа ставит стратегической целью создание предпринимательской экосистемы для непрерывного развития электронной коммерции путем консолидации усилий государственных органов власти, органов местного самоуправления и неправительственного сектора по развитию ИКТ инфраструктуры, расширение доступа к финансовым услугам, развитие программ поддержки обучения субъектов предпринимательства электронной коммерции, что будет способствовать развитию существующих и открытию новых предприятий, созданию новых рабочих мест и, таким образом, укреплению экономики в целом.</w:t>
      </w:r>
    </w:p>
    <w:p>
      <w:pPr>
        <w:spacing w:after="200" w:before="200"/>
        <w:jc w:val="center"/>
      </w:pPr>
      <w:r>
        <w:rPr>
          <w:rFonts w:ascii="Arial" w:cs="Arial" w:eastAsia="Arial" w:hAnsi="Arial"/>
          <w:b/>
          <w:bCs/>
          <w:sz w:val="32"/>
          <w:szCs w:val="32"/>
        </w:rPr>
        <w:t xml:space="preserve">Приоритет 1. Сокращение издержек участников электронной торговли, защищенность и обеспечение безопасности их деятельности</w:t>
      </w:r>
    </w:p>
    <w:p>
      <w:pPr>
        <w:spacing w:after="60" w:before="200"/>
        <w:ind w:firstLine="567"/>
        <w:jc w:val="both"/>
      </w:pPr>
      <w:r>
        <w:rPr>
          <w:rFonts w:ascii="Arial" w:cs="Arial" w:eastAsia="Arial" w:hAnsi="Arial"/>
          <w:b/>
          <w:bCs/>
          <w:sz w:val="24"/>
          <w:szCs w:val="24"/>
        </w:rPr>
        <w:t xml:space="preserve">Задача 1.1. Оптимизация законодательства в сфере электронной торговли</w:t>
      </w:r>
    </w:p>
    <w:p>
      <w:pPr>
        <w:spacing w:after="60"/>
        <w:ind w:firstLine="567"/>
        <w:jc w:val="both"/>
      </w:pPr>
      <w:r>
        <w:rPr>
          <w:rFonts w:ascii="Arial" w:cs="Arial" w:eastAsia="Arial" w:hAnsi="Arial"/>
          <w:sz w:val="24"/>
          <w:szCs w:val="24"/>
        </w:rPr>
        <w:t xml:space="preserve">В связи с распространением электронной торговли и использованием персональных данных в процессе данной деятельности возникает необходимость государственного регулирования и принятия нормативных правовых актов по введению требований обеспечения защиты и безопасности массива персональных данных лиц, участвующих в электронной торговле, также нормативных правовых актов, регулирующих электронный документооборот. Кроме того, важным инструментом, обеспечивающим безопасность в электронной торговле, является внедрение реестра локальных онлайн-магазинов для проверки потребителями юридического статуса и наличия знака безопасности у поставщика.</w:t>
      </w:r>
    </w:p>
    <w:p>
      <w:pPr>
        <w:spacing w:after="60" w:before="200"/>
        <w:ind w:firstLine="567"/>
        <w:jc w:val="both"/>
      </w:pPr>
      <w:r>
        <w:rPr>
          <w:rFonts w:ascii="Arial" w:cs="Arial" w:eastAsia="Arial" w:hAnsi="Arial"/>
          <w:b/>
          <w:bCs/>
          <w:sz w:val="24"/>
          <w:szCs w:val="24"/>
        </w:rPr>
        <w:t xml:space="preserve">Задача 1.2. Устранение проблем точечного характера, требующих гармонизации законодательства с требованиями ЕАЭС</w:t>
      </w:r>
    </w:p>
    <w:p>
      <w:pPr>
        <w:spacing w:after="60"/>
        <w:ind w:firstLine="567"/>
        <w:jc w:val="both"/>
      </w:pPr>
      <w:r>
        <w:rPr>
          <w:rFonts w:ascii="Arial" w:cs="Arial" w:eastAsia="Arial" w:hAnsi="Arial"/>
          <w:sz w:val="24"/>
          <w:szCs w:val="24"/>
        </w:rPr>
        <w:t xml:space="preserve">Кыргызская Республика как участница ЕАЭС берет на себя обязательства по гармонизации нормативных правовых актов в соответствии с общими требованиями ЕАЭС в части контроля предоставления и реализации цифровых трансграничных услуг и товаров, стимулирования экспорта товаров и услуг из государств-членов в третьи страны, регулирования, снижения барьеров или упрощения административных процедур. Вместе с тем существует необходимость пресечения доступа продукции ненадлежащего качества и применения уведомительной процедуры подтверждения соответствия требованиям технического регламента ЕАЭС.</w:t>
      </w:r>
    </w:p>
    <w:p>
      <w:pPr>
        <w:spacing w:after="60" w:before="200"/>
        <w:ind w:firstLine="567"/>
        <w:jc w:val="both"/>
      </w:pPr>
      <w:r>
        <w:rPr>
          <w:rFonts w:ascii="Arial" w:cs="Arial" w:eastAsia="Arial" w:hAnsi="Arial"/>
          <w:b/>
          <w:bCs/>
          <w:sz w:val="24"/>
          <w:szCs w:val="24"/>
        </w:rPr>
        <w:t xml:space="preserve">Задача 1.3. Сокращение издержек участников электронной коммерции</w:t>
      </w:r>
    </w:p>
    <w:p>
      <w:pPr>
        <w:spacing w:after="60"/>
        <w:ind w:firstLine="567"/>
        <w:jc w:val="both"/>
      </w:pPr>
      <w:r>
        <w:rPr>
          <w:rFonts w:ascii="Arial" w:cs="Arial" w:eastAsia="Arial" w:hAnsi="Arial"/>
          <w:sz w:val="24"/>
          <w:szCs w:val="24"/>
        </w:rPr>
        <w:t xml:space="preserve">Развитие инфраструктуры цифровой торговли в рамках ЕАЭС и стимулирование применения новых технологий является основой сокращения издержек участников электронной торговли. Также основной причиной развития электронной коммерции является высокая стоимость банковского обслуживания (эквайринг) участников электронной коммерции либо слабая доступность услуг безналичных платежей.</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обеспечение защиты и безопасности массива персональных данных лиц, участвующих в электронной торговле;</w:t>
      </w:r>
    </w:p>
    <w:p>
      <w:pPr>
        <w:spacing w:after="60"/>
        <w:ind w:firstLine="567"/>
        <w:jc w:val="both"/>
      </w:pPr>
      <w:r>
        <w:rPr>
          <w:rFonts w:ascii="Arial" w:cs="Arial" w:eastAsia="Arial" w:hAnsi="Arial"/>
          <w:sz w:val="24"/>
          <w:szCs w:val="24"/>
        </w:rPr>
        <w:t xml:space="preserve">- введение требований по обязательному размещению и хранению персональных данных граждан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гармонизация законодательства Кыргызской Республики с требованиями ЕАЭС по вопросам трансграничной торговли и предоставления цифровых услуг;</w:t>
      </w:r>
    </w:p>
    <w:p>
      <w:pPr>
        <w:spacing w:after="60"/>
        <w:ind w:firstLine="567"/>
        <w:jc w:val="both"/>
      </w:pPr>
      <w:r>
        <w:rPr>
          <w:rFonts w:ascii="Arial" w:cs="Arial" w:eastAsia="Arial" w:hAnsi="Arial"/>
          <w:sz w:val="24"/>
          <w:szCs w:val="24"/>
        </w:rPr>
        <w:t xml:space="preserve">- внедрение электронного таможенного декларирования и системы автоматического выпуска товаров;</w:t>
      </w:r>
    </w:p>
    <w:p>
      <w:pPr>
        <w:spacing w:after="60"/>
        <w:ind w:firstLine="567"/>
        <w:jc w:val="both"/>
      </w:pPr>
      <w:r>
        <w:rPr>
          <w:rFonts w:ascii="Arial" w:cs="Arial" w:eastAsia="Arial" w:hAnsi="Arial"/>
          <w:sz w:val="24"/>
          <w:szCs w:val="24"/>
        </w:rPr>
        <w:t xml:space="preserve">- создание таможенных складов для товаров, расположенных в приграничных зонах.</w:t>
      </w:r>
    </w:p>
    <w:p>
      <w:pPr>
        <w:spacing w:after="200" w:before="200"/>
        <w:jc w:val="center"/>
      </w:pPr>
      <w:r>
        <w:rPr>
          <w:rFonts w:ascii="Arial" w:cs="Arial" w:eastAsia="Arial" w:hAnsi="Arial"/>
          <w:b/>
          <w:bCs/>
          <w:sz w:val="32"/>
          <w:szCs w:val="32"/>
        </w:rPr>
        <w:t xml:space="preserve">Приоритет 2. Продвижение инвестиций, повышение конкурентоспособности товаров и содействие экспорту</w:t>
      </w:r>
    </w:p>
    <w:p>
      <w:pPr>
        <w:spacing w:after="60" w:before="200"/>
        <w:ind w:firstLine="567"/>
        <w:jc w:val="both"/>
      </w:pPr>
      <w:r>
        <w:rPr>
          <w:rFonts w:ascii="Arial" w:cs="Arial" w:eastAsia="Arial" w:hAnsi="Arial"/>
          <w:b/>
          <w:bCs/>
          <w:sz w:val="24"/>
          <w:szCs w:val="24"/>
        </w:rPr>
        <w:t xml:space="preserve">Задача 2.1. Создание таможенных складов для товаров, расположенных в приграничных зонах</w:t>
      </w:r>
    </w:p>
    <w:p>
      <w:pPr>
        <w:spacing w:after="60"/>
        <w:ind w:firstLine="567"/>
        <w:jc w:val="both"/>
      </w:pPr>
      <w:r>
        <w:rPr>
          <w:rFonts w:ascii="Arial" w:cs="Arial" w:eastAsia="Arial" w:hAnsi="Arial"/>
          <w:sz w:val="24"/>
          <w:szCs w:val="24"/>
        </w:rPr>
        <w:t xml:space="preserve">В целях сокращения финансовых издержек необходимо проведение технической модернизации инфраструктуры на местах таможенного оформления, внедрение электронного таможенного декларирования и системы автоматического выпуска товаров, создание таможенных складов для товаров, расположенных в приграничных зонах,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60"/>
        <w:ind w:firstLine="567"/>
        <w:jc w:val="both"/>
      </w:pPr>
      <w:r>
        <w:rPr>
          <w:rFonts w:ascii="Arial" w:cs="Arial" w:eastAsia="Arial" w:hAnsi="Arial"/>
          <w:sz w:val="24"/>
          <w:szCs w:val="24"/>
        </w:rPr>
        <w:t xml:space="preserve">В этой связи возникает необходимость проведения переговоров по созданию инфраструктуры трансграничных торгово-рыночных объектов в рамках ЕАЭС и в соответствии с требованиями ВТО, а также рассмотреть возможность введения особых преференциальных режимов на данных объектах и упрощенных процедур сбора налогов.</w:t>
      </w:r>
    </w:p>
    <w:p>
      <w:pPr>
        <w:spacing w:after="60" w:before="200"/>
        <w:ind w:firstLine="567"/>
        <w:jc w:val="both"/>
      </w:pPr>
      <w:r>
        <w:rPr>
          <w:rFonts w:ascii="Arial" w:cs="Arial" w:eastAsia="Arial" w:hAnsi="Arial"/>
          <w:b/>
          <w:bCs/>
          <w:sz w:val="24"/>
          <w:szCs w:val="24"/>
        </w:rPr>
        <w:t xml:space="preserve">Задача 2.2.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60"/>
        <w:ind w:firstLine="567"/>
        <w:jc w:val="both"/>
      </w:pPr>
      <w:r>
        <w:rPr>
          <w:rFonts w:ascii="Arial" w:cs="Arial" w:eastAsia="Arial" w:hAnsi="Arial"/>
          <w:sz w:val="24"/>
          <w:szCs w:val="24"/>
        </w:rPr>
        <w:t xml:space="preserve">Обязательным условием развития электронной торговли является создание и поддержание эффективности взаимодействия субъектов отношений в цифровом формате, включая государственные и муниципальные органы власти, где важной частью данных отношений станет обмен данными о производителях и товарах между государственными контролирующими органами стран, субъектами внешнеэкономической деятельности (далее - ВЭД).</w:t>
      </w:r>
    </w:p>
    <w:p>
      <w:pPr>
        <w:spacing w:after="60"/>
        <w:ind w:firstLine="567"/>
        <w:jc w:val="both"/>
      </w:pPr>
      <w:r>
        <w:rPr>
          <w:rFonts w:ascii="Arial" w:cs="Arial" w:eastAsia="Arial" w:hAnsi="Arial"/>
          <w:sz w:val="24"/>
          <w:szCs w:val="24"/>
        </w:rPr>
        <w:t xml:space="preserve">Немаловажным фактором содействия экспорту и поддержке предпринимательства является сокращение времени на оформление разрешительной документации на ввоз продукции в третьи страны, что требует пересмотра "цифровизации" системы подтверждения страны происхождения товара (продукции) СТ-1, а также создание электронной цифровой платформы по обмену и подтверждению требуемых данных.</w:t>
      </w:r>
    </w:p>
    <w:p>
      <w:pPr>
        <w:spacing w:after="60" w:before="200"/>
        <w:ind w:firstLine="567"/>
        <w:jc w:val="both"/>
      </w:pPr>
      <w:r>
        <w:rPr>
          <w:rFonts w:ascii="Arial" w:cs="Arial" w:eastAsia="Arial" w:hAnsi="Arial"/>
          <w:b/>
          <w:bCs/>
          <w:sz w:val="24"/>
          <w:szCs w:val="24"/>
        </w:rPr>
        <w:t xml:space="preserve">Задача 2.3. 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p>
      <w:pPr>
        <w:spacing w:after="60"/>
        <w:ind w:firstLine="567"/>
        <w:jc w:val="both"/>
      </w:pPr>
      <w:r>
        <w:rPr>
          <w:rFonts w:ascii="Arial" w:cs="Arial" w:eastAsia="Arial" w:hAnsi="Arial"/>
          <w:sz w:val="24"/>
          <w:szCs w:val="24"/>
        </w:rPr>
        <w:t xml:space="preserve">Важную роль в продвижении инвестиций, повышении конкурентоспособности товаров и содействии экспорту играет снижение затрат на выполнение административных процедур и исключение коррупционных рисков участников электронной торговли, функционирование электронной системы взаимодействия МСП и перевод в цифровой формат требуемых документов по обмену данными по модели "G" to "G" и "В" to "</w:t>
      </w:r>
      <w:r>
        <w:rPr>
          <w:rFonts w:ascii="Arial" w:cs="Arial" w:eastAsia="Arial" w:hAnsi="Arial"/>
          <w:sz w:val="24"/>
          <w:szCs w:val="24"/>
        </w:rPr>
        <w:t xml:space="preserve">G</w:t>
      </w:r>
      <w:r>
        <w:rPr>
          <w:rFonts w:ascii="Arial" w:cs="Arial" w:eastAsia="Arial" w:hAnsi="Arial"/>
          <w:sz w:val="24"/>
          <w:szCs w:val="24"/>
        </w:rPr>
        <w:t xml:space="preserve">" при осуществлении деятельности субъектами ВЭД.</w:t>
      </w:r>
    </w:p>
    <w:p>
      <w:pPr>
        <w:spacing w:after="60" w:before="200"/>
        <w:ind w:firstLine="567"/>
        <w:jc w:val="both"/>
      </w:pPr>
      <w:r>
        <w:rPr>
          <w:rFonts w:ascii="Arial" w:cs="Arial" w:eastAsia="Arial" w:hAnsi="Arial"/>
          <w:b/>
          <w:bCs/>
          <w:sz w:val="24"/>
          <w:szCs w:val="24"/>
        </w:rPr>
        <w:t xml:space="preserve">Задача 2.4. Создание интернет-платформы</w:t>
      </w:r>
    </w:p>
    <w:p>
      <w:pPr>
        <w:spacing w:after="60"/>
        <w:ind w:firstLine="567"/>
        <w:jc w:val="both"/>
      </w:pPr>
      <w:r>
        <w:rPr>
          <w:rFonts w:ascii="Arial" w:cs="Arial" w:eastAsia="Arial" w:hAnsi="Arial"/>
          <w:sz w:val="24"/>
          <w:szCs w:val="24"/>
        </w:rPr>
        <w:t xml:space="preserve">Для развития электронной торговли возникает необходимость создания собственной специализированной региональной интернет-платформы для развития электронной торговли продукции кыргызских предприятий.</w:t>
      </w:r>
    </w:p>
    <w:p>
      <w:pPr>
        <w:spacing w:after="60"/>
        <w:ind w:firstLine="567"/>
        <w:jc w:val="both"/>
      </w:pPr>
      <w:r>
        <w:rPr>
          <w:rFonts w:ascii="Arial" w:cs="Arial" w:eastAsia="Arial" w:hAnsi="Arial"/>
          <w:sz w:val="24"/>
          <w:szCs w:val="24"/>
        </w:rPr>
        <w:t xml:space="preserve">В настоящее время лидерами интернет-торговли являются такие торговые площадки как Amazon, Alibaba, Tmall, ТаоВао, JD.com, eBay, Wildberries, Ozon, freelance.com, что требует проведения переговоров и достижения договоренностей по регистрации и размещению отечественной продукции с данными транснациональными корпорациями.</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создание инфраструктуры трансграничных торгово-рыночных комплексов и дальнейшее введение в работу рынков трансграничной торговли и введение особого администрирования налогов и режимов функционирования таможенных складов в приграничной зоне;</w:t>
      </w:r>
    </w:p>
    <w:p>
      <w:pPr>
        <w:spacing w:after="60"/>
        <w:ind w:firstLine="567"/>
        <w:jc w:val="both"/>
      </w:pPr>
      <w:r>
        <w:rPr>
          <w:rFonts w:ascii="Arial" w:cs="Arial" w:eastAsia="Arial" w:hAnsi="Arial"/>
          <w:sz w:val="24"/>
          <w:szCs w:val="24"/>
        </w:rPr>
        <w:t xml:space="preserve">- создание и функционирование цифровой платформы баз данных (100% оцифровка реестра предприятий, номенклатуры продукции) для автоматического подтверждения страны происхождения;</w:t>
      </w:r>
    </w:p>
    <w:p>
      <w:pPr>
        <w:spacing w:after="60"/>
        <w:ind w:firstLine="567"/>
        <w:jc w:val="both"/>
      </w:pPr>
      <w:r>
        <w:rPr>
          <w:rFonts w:ascii="Arial" w:cs="Arial" w:eastAsia="Arial" w:hAnsi="Arial"/>
          <w:sz w:val="24"/>
          <w:szCs w:val="24"/>
        </w:rPr>
        <w:t xml:space="preserve">- создание и функционирование электронной системы взаимодействия МСП с госорганами, снижение затрат на 20% на выполнение административных процедур и исключение коррупционных рисков;</w:t>
      </w:r>
    </w:p>
    <w:p>
      <w:pPr>
        <w:spacing w:after="60"/>
        <w:ind w:firstLine="567"/>
        <w:jc w:val="both"/>
      </w:pPr>
      <w:r>
        <w:rPr>
          <w:rFonts w:ascii="Arial" w:cs="Arial" w:eastAsia="Arial" w:hAnsi="Arial"/>
          <w:sz w:val="24"/>
          <w:szCs w:val="24"/>
        </w:rPr>
        <w:t xml:space="preserve">- перевод в цифровой формат требуемых документов по обмену данными запрашиваемой информацией по модели "</w:t>
      </w:r>
      <w:r>
        <w:rPr>
          <w:rFonts w:ascii="Arial" w:cs="Arial" w:eastAsia="Arial" w:hAnsi="Arial"/>
          <w:sz w:val="24"/>
          <w:szCs w:val="24"/>
        </w:rPr>
        <w:t xml:space="preserve">G</w:t>
      </w:r>
      <w:r>
        <w:rPr>
          <w:rFonts w:ascii="Arial" w:cs="Arial" w:eastAsia="Arial" w:hAnsi="Arial"/>
          <w:sz w:val="24"/>
          <w:szCs w:val="24"/>
        </w:rPr>
        <w:t xml:space="preserve">" to "G" и "В" to "G" при осуществлении деятельности субъектами ВЭД;</w:t>
      </w:r>
    </w:p>
    <w:p>
      <w:pPr>
        <w:spacing w:after="60"/>
        <w:ind w:firstLine="567"/>
        <w:jc w:val="both"/>
      </w:pPr>
      <w:r>
        <w:rPr>
          <w:rFonts w:ascii="Arial" w:cs="Arial" w:eastAsia="Arial" w:hAnsi="Arial"/>
          <w:sz w:val="24"/>
          <w:szCs w:val="24"/>
        </w:rPr>
        <w:t xml:space="preserve">- содействие кыргызским предприятиям в регистрации на электронных торговых площадках стран ЕАЭС, Содружества Независимых Государств и Китайской Народной Республики. Продвижение интернет-платформы Кыргызской Республики и брендов кыргызской продукции и внедрение в интегрированную систему баз данных модели "G" to "G";</w:t>
      </w:r>
    </w:p>
    <w:p>
      <w:pPr>
        <w:spacing w:after="60"/>
        <w:ind w:firstLine="567"/>
        <w:jc w:val="both"/>
      </w:pPr>
      <w:r>
        <w:rPr>
          <w:rFonts w:ascii="Arial" w:cs="Arial" w:eastAsia="Arial" w:hAnsi="Arial"/>
          <w:sz w:val="24"/>
          <w:szCs w:val="24"/>
        </w:rPr>
        <w:t xml:space="preserve">- 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p>
      <w:pPr>
        <w:spacing w:after="200" w:before="200"/>
        <w:jc w:val="center"/>
      </w:pPr>
      <w:r>
        <w:rPr>
          <w:rFonts w:ascii="Arial" w:cs="Arial" w:eastAsia="Arial" w:hAnsi="Arial"/>
          <w:b/>
          <w:bCs/>
          <w:sz w:val="32"/>
          <w:szCs w:val="32"/>
        </w:rPr>
        <w:t xml:space="preserve">Приоритет 3. Совершенствование финансовой инфраструктуры и расширение доступа к финансовым услугам субъектов предпринимательства электронной коммерции</w:t>
      </w:r>
    </w:p>
    <w:p>
      <w:pPr>
        <w:spacing w:after="60" w:before="200"/>
        <w:ind w:firstLine="567"/>
        <w:jc w:val="both"/>
      </w:pPr>
      <w:r>
        <w:rPr>
          <w:rFonts w:ascii="Arial" w:cs="Arial" w:eastAsia="Arial" w:hAnsi="Arial"/>
          <w:b/>
          <w:bCs/>
          <w:sz w:val="24"/>
          <w:szCs w:val="24"/>
        </w:rPr>
        <w:t xml:space="preserve">Задача. Повышение доступности безналичных платежей</w:t>
      </w:r>
    </w:p>
    <w:p>
      <w:pPr>
        <w:spacing w:after="60"/>
        <w:ind w:firstLine="567"/>
        <w:jc w:val="both"/>
      </w:pPr>
      <w:r>
        <w:rPr>
          <w:rFonts w:ascii="Arial" w:cs="Arial" w:eastAsia="Arial" w:hAnsi="Arial"/>
          <w:sz w:val="24"/>
          <w:szCs w:val="24"/>
        </w:rPr>
        <w:t xml:space="preserve">Данные элементы имеют слабое развитие, а размер комиссионных сборов завышен.</w:t>
      </w:r>
    </w:p>
    <w:p>
      <w:pPr>
        <w:spacing w:after="60"/>
        <w:ind w:firstLine="567"/>
        <w:jc w:val="both"/>
      </w:pPr>
      <w:r>
        <w:rPr>
          <w:rFonts w:ascii="Arial" w:cs="Arial" w:eastAsia="Arial" w:hAnsi="Arial"/>
          <w:sz w:val="24"/>
          <w:szCs w:val="24"/>
        </w:rPr>
        <w:t xml:space="preserve">Кроме того, в стране действуют ограничения на размер денежных средств электронных кошельков и других счетов субъектов МСП. Необходимо расширение перечня услуг, за которые можно оплачивать посредством всех кошельков и через интернет-банкинг.</w:t>
      </w:r>
    </w:p>
    <w:p>
      <w:pPr>
        <w:spacing w:after="60"/>
        <w:ind w:firstLine="567"/>
        <w:jc w:val="both"/>
      </w:pPr>
      <w:r>
        <w:rPr>
          <w:rFonts w:ascii="Arial" w:cs="Arial" w:eastAsia="Arial" w:hAnsi="Arial"/>
          <w:sz w:val="24"/>
          <w:szCs w:val="24"/>
        </w:rPr>
        <w:t xml:space="preserve">Требуется расширение деятельности гарантийных фондов за счет увеличения уставного фонда и привлечения донорских средств.</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расширение доступа к финансовым услугам субъектов предпринимательства в электронной коммерции;</w:t>
      </w:r>
    </w:p>
    <w:p>
      <w:pPr>
        <w:spacing w:after="60"/>
        <w:ind w:firstLine="567"/>
        <w:jc w:val="both"/>
      </w:pPr>
      <w:r>
        <w:rPr>
          <w:rFonts w:ascii="Arial" w:cs="Arial" w:eastAsia="Arial" w:hAnsi="Arial"/>
          <w:sz w:val="24"/>
          <w:szCs w:val="24"/>
        </w:rPr>
        <w:t xml:space="preserve">- обеспечение развития интегрированной цифровой среды, эффективного взаимодействия финансовых институтов, клиентов и государственных органов для качественного повышения уровня сервисов в финансовом и банковском секторе;</w:t>
      </w:r>
    </w:p>
    <w:p>
      <w:pPr>
        <w:spacing w:after="60"/>
        <w:ind w:firstLine="567"/>
        <w:jc w:val="both"/>
      </w:pPr>
      <w:r>
        <w:rPr>
          <w:rFonts w:ascii="Arial" w:cs="Arial" w:eastAsia="Arial" w:hAnsi="Arial"/>
          <w:sz w:val="24"/>
          <w:szCs w:val="24"/>
        </w:rPr>
        <w:t xml:space="preserve">- обеспечение доступа большего числа субъектов малого и среднего предпринимательства к финансовым ресурсам при недостаточности залогового обеспечения.</w:t>
      </w:r>
    </w:p>
    <w:p>
      <w:pPr>
        <w:spacing w:after="200" w:before="200"/>
        <w:jc w:val="center"/>
      </w:pPr>
      <w:r>
        <w:rPr>
          <w:rFonts w:ascii="Arial" w:cs="Arial" w:eastAsia="Arial" w:hAnsi="Arial"/>
          <w:b/>
          <w:bCs/>
          <w:sz w:val="32"/>
          <w:szCs w:val="32"/>
        </w:rPr>
        <w:t xml:space="preserve">Приоритет 4. Поддержка и содействие в подготовке и переподготовке кадров, развитие навыков и инициатив у субъектов цифрового предпринимательства</w:t>
      </w:r>
    </w:p>
    <w:p>
      <w:pPr>
        <w:spacing w:after="60" w:before="200"/>
        <w:ind w:firstLine="567"/>
        <w:jc w:val="both"/>
      </w:pPr>
      <w:r>
        <w:rPr>
          <w:rFonts w:ascii="Arial" w:cs="Arial" w:eastAsia="Arial" w:hAnsi="Arial"/>
          <w:b/>
          <w:bCs/>
          <w:sz w:val="24"/>
          <w:szCs w:val="24"/>
        </w:rPr>
        <w:t xml:space="preserve">Задача 4.1. Создание региональных центров развития и поддержки цифрового предпринимательства</w:t>
      </w:r>
    </w:p>
    <w:p>
      <w:pPr>
        <w:spacing w:after="60"/>
        <w:ind w:firstLine="567"/>
        <w:jc w:val="both"/>
      </w:pPr>
      <w:r>
        <w:rPr>
          <w:rFonts w:ascii="Arial" w:cs="Arial" w:eastAsia="Arial" w:hAnsi="Arial"/>
          <w:sz w:val="24"/>
          <w:szCs w:val="24"/>
        </w:rPr>
        <w:t xml:space="preserve">На рынке труда наблюдается достаточно острый кадровый дефицит специалистов электронной торговли, где развитие всех сегментов электронной торговли в стране требует решения проблемы нехватки квалифицированных кадров, разработки и внедрения специальных образовательных программ и программ поддержки для действующих и начинающих предпринимателей и молодежи, развития цифровых навыков в предпринимательстве, а также обучения основам финансового планирования и бюджетирования проектов.</w:t>
      </w:r>
    </w:p>
    <w:p>
      <w:pPr>
        <w:spacing w:after="60" w:before="200"/>
        <w:ind w:firstLine="567"/>
        <w:jc w:val="both"/>
      </w:pPr>
      <w:r>
        <w:rPr>
          <w:rFonts w:ascii="Arial" w:cs="Arial" w:eastAsia="Arial" w:hAnsi="Arial"/>
          <w:b/>
          <w:bCs/>
          <w:sz w:val="24"/>
          <w:szCs w:val="24"/>
        </w:rPr>
        <w:t xml:space="preserve">Задача 4.2. Поддержка и усиление бизнес-ассоциаций в сфере электронной коммерции</w:t>
      </w:r>
    </w:p>
    <w:p>
      <w:pPr>
        <w:spacing w:after="60"/>
        <w:ind w:firstLine="567"/>
        <w:jc w:val="both"/>
      </w:pPr>
      <w:r>
        <w:rPr>
          <w:rFonts w:ascii="Arial" w:cs="Arial" w:eastAsia="Arial" w:hAnsi="Arial"/>
          <w:sz w:val="24"/>
          <w:szCs w:val="24"/>
        </w:rPr>
        <w:t xml:space="preserve">Необходимой мерой по поддержке, содействию в подготовке и переподготовке кадров, развитию навыков и инициатив у субъектов цифрового предпринимательства является развитие и усиление бизнес-ассоциаций в сфере электронной коммерции. В этой связи возникает необходимость в проведении тренингов для бизнес-сообществ, органов государственной и муниципальной власти по практическому использованию методов анализа регулятивного воздействия, оценивающего влияние на уровень развития электронной коммерции.</w:t>
      </w:r>
    </w:p>
    <w:p>
      <w:pPr>
        <w:spacing w:after="60" w:before="200"/>
        <w:ind w:firstLine="567"/>
        <w:jc w:val="both"/>
      </w:pPr>
      <w:r>
        <w:rPr>
          <w:rFonts w:ascii="Arial" w:cs="Arial" w:eastAsia="Arial" w:hAnsi="Arial"/>
          <w:b/>
          <w:bCs/>
          <w:sz w:val="24"/>
          <w:szCs w:val="24"/>
        </w:rPr>
        <w:t xml:space="preserve">Задача 4.3. Развитие предпринимательских навыков и популяризация цифрового предпринимательства</w:t>
      </w:r>
    </w:p>
    <w:p>
      <w:pPr>
        <w:spacing w:after="60"/>
        <w:ind w:firstLine="567"/>
        <w:jc w:val="both"/>
      </w:pPr>
      <w:r>
        <w:rPr>
          <w:rFonts w:ascii="Arial" w:cs="Arial" w:eastAsia="Arial" w:hAnsi="Arial"/>
          <w:sz w:val="24"/>
          <w:szCs w:val="24"/>
        </w:rPr>
        <w:t xml:space="preserve">В целях развития электронной торговли как самостоятельной отрасли необходимо проведение мер популяризации электронной торговли как современного, эффективного, отвечающего самым высоким стандартам и требованиям потребителя формата торговли, позволяющего за счет передовых методов ведения бизнеса значительно снижать денежные и временные затраты потребителя.</w:t>
      </w:r>
    </w:p>
    <w:p>
      <w:pPr>
        <w:spacing w:after="60"/>
        <w:ind w:firstLine="567"/>
        <w:jc w:val="both"/>
      </w:pPr>
      <w:r>
        <w:rPr>
          <w:rFonts w:ascii="Arial" w:cs="Arial" w:eastAsia="Arial" w:hAnsi="Arial"/>
          <w:sz w:val="24"/>
          <w:szCs w:val="24"/>
        </w:rPr>
        <w:t xml:space="preserve">Также необходимо принятие таких мер как вовлечение молодежи, женщин в обучение навыкам ведения цифрового предпринимательства, обеспечение постоянного функционирования региональных бизнес-инкубаторов, создание парка электронной коммерции, обучение нормам законодательства, содержащего требования к деятельности, продукции, процессу производства, качеству и безопасности.</w:t>
      </w:r>
    </w:p>
    <w:p>
      <w:pPr>
        <w:spacing w:after="60"/>
        <w:ind w:firstLine="567"/>
        <w:jc w:val="both"/>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 создание образовательных центров, внедрение программ переквалификации и саморазвития для создания, развития или масштабирования своего бизнеса, разработка бизнес-планов для развития уже существующего или старта нового бизнеса, получения ресурсных возможностей по финансированию предпринимательской деятельности в сфере электронной торговли;</w:t>
      </w:r>
    </w:p>
    <w:p>
      <w:pPr>
        <w:spacing w:after="60"/>
        <w:ind w:firstLine="567"/>
        <w:jc w:val="both"/>
      </w:pPr>
      <w:r>
        <w:rPr>
          <w:rFonts w:ascii="Arial" w:cs="Arial" w:eastAsia="Arial" w:hAnsi="Arial"/>
          <w:sz w:val="24"/>
          <w:szCs w:val="24"/>
        </w:rPr>
        <w:t xml:space="preserve">- усиление экспертного и аналитического потенциала государственных органов и органов местного самоуправления, бизнес-ассоциаций, развитие государственно-частного диалога в сфере электронной торговли;</w:t>
      </w:r>
    </w:p>
    <w:p>
      <w:pPr>
        <w:spacing w:after="60"/>
        <w:ind w:firstLine="567"/>
        <w:jc w:val="both"/>
      </w:pPr>
      <w:r>
        <w:rPr>
          <w:rFonts w:ascii="Arial" w:cs="Arial" w:eastAsia="Arial" w:hAnsi="Arial"/>
          <w:sz w:val="24"/>
          <w:szCs w:val="24"/>
        </w:rPr>
        <w:t xml:space="preserve">- формирование предпринимательских инициатив с учетом межрегиональной и региональной специализации на базе бизнес-инкубаторов;</w:t>
      </w:r>
    </w:p>
    <w:p>
      <w:pPr>
        <w:spacing w:after="60"/>
        <w:ind w:firstLine="567"/>
        <w:jc w:val="both"/>
      </w:pPr>
      <w:r>
        <w:rPr>
          <w:rFonts w:ascii="Arial" w:cs="Arial" w:eastAsia="Arial" w:hAnsi="Arial"/>
          <w:sz w:val="24"/>
          <w:szCs w:val="24"/>
        </w:rPr>
        <w:t xml:space="preserve">- увеличение числа субъектов предпринимательства - выпускников бизнес инкубаторов на 40%.</w:t>
      </w:r>
    </w:p>
    <w:p>
      <w:pPr>
        <w:spacing w:after="200" w:before="200"/>
        <w:jc w:val="center"/>
      </w:pPr>
      <w:r>
        <w:rPr>
          <w:rFonts w:ascii="Arial" w:cs="Arial" w:eastAsia="Arial" w:hAnsi="Arial"/>
          <w:b/>
          <w:bCs/>
          <w:sz w:val="24"/>
          <w:szCs w:val="24"/>
        </w:rPr>
        <w:t xml:space="preserve">5. Благоприятные предпосылки и риски выполнения Программы</w:t>
      </w:r>
    </w:p>
    <w:p>
      <w:pPr>
        <w:spacing w:after="60"/>
        <w:ind w:firstLine="567"/>
        <w:jc w:val="both"/>
      </w:pPr>
      <w:r>
        <w:rPr>
          <w:rFonts w:ascii="Arial" w:cs="Arial" w:eastAsia="Arial" w:hAnsi="Arial"/>
          <w:sz w:val="24"/>
          <w:szCs w:val="24"/>
        </w:rPr>
        <w:t xml:space="preserve">Важнейшими предпосылками успешной реализации настоящей Программы станут:</w:t>
      </w:r>
    </w:p>
    <w:p>
      <w:pPr>
        <w:spacing w:after="60"/>
        <w:ind w:firstLine="567"/>
        <w:jc w:val="both"/>
      </w:pPr>
      <w:r>
        <w:rPr>
          <w:rFonts w:ascii="Arial" w:cs="Arial" w:eastAsia="Arial" w:hAnsi="Arial"/>
          <w:sz w:val="24"/>
          <w:szCs w:val="24"/>
        </w:rPr>
        <w:t xml:space="preserve">- корреляция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 разработка программ обучения и профессиональной подготовки по вопросам электронной коммерции;</w:t>
      </w:r>
    </w:p>
    <w:p>
      <w:pPr>
        <w:spacing w:after="60"/>
        <w:ind w:firstLine="567"/>
        <w:jc w:val="both"/>
      </w:pPr>
      <w:r>
        <w:rPr>
          <w:rFonts w:ascii="Arial" w:cs="Arial" w:eastAsia="Arial" w:hAnsi="Arial"/>
          <w:sz w:val="24"/>
          <w:szCs w:val="24"/>
        </w:rPr>
        <w:t xml:space="preserve">- развитие возможностей для использования инкубаторов, ускорителей и технопарков в сфере электронной коммерции и цифрового предпринимательства;</w:t>
      </w:r>
    </w:p>
    <w:p>
      <w:pPr>
        <w:spacing w:after="60"/>
        <w:ind w:firstLine="567"/>
        <w:jc w:val="both"/>
      </w:pPr>
      <w:r>
        <w:rPr>
          <w:rFonts w:ascii="Arial" w:cs="Arial" w:eastAsia="Arial" w:hAnsi="Arial"/>
          <w:sz w:val="24"/>
          <w:szCs w:val="24"/>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4"/>
          <w:szCs w:val="24"/>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4"/>
          <w:szCs w:val="24"/>
        </w:rPr>
        <w:t xml:space="preserve">- отсутствие позитивных мер, позволяющих стимулировать экономическую активность в сфере электронной коммерции;</w:t>
      </w:r>
    </w:p>
    <w:p>
      <w:pPr>
        <w:spacing w:after="60"/>
        <w:ind w:firstLine="567"/>
        <w:jc w:val="both"/>
      </w:pPr>
      <w:r>
        <w:rPr>
          <w:rFonts w:ascii="Arial" w:cs="Arial" w:eastAsia="Arial" w:hAnsi="Arial"/>
          <w:sz w:val="24"/>
          <w:szCs w:val="24"/>
        </w:rPr>
        <w:t xml:space="preserve">- декларативное отношение институтов поддержки развития электронной коммерции;</w:t>
      </w:r>
    </w:p>
    <w:p>
      <w:pPr>
        <w:spacing w:after="60"/>
        <w:ind w:firstLine="567"/>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электронной коммерции;</w:t>
      </w:r>
    </w:p>
    <w:p>
      <w:pPr>
        <w:spacing w:after="60"/>
        <w:ind w:firstLine="567"/>
        <w:jc w:val="both"/>
      </w:pPr>
      <w:r>
        <w:rPr>
          <w:rFonts w:ascii="Arial" w:cs="Arial" w:eastAsia="Arial" w:hAnsi="Arial"/>
          <w:sz w:val="24"/>
          <w:szCs w:val="24"/>
        </w:rPr>
        <w:t xml:space="preserve">- отсутствие финансовой помощи, выделяемой на развитие электронной коммерции.</w:t>
      </w:r>
    </w:p>
    <w:p>
      <w:pPr>
        <w:spacing w:after="200" w:before="200"/>
        <w:jc w:val="center"/>
      </w:pPr>
      <w:r>
        <w:rPr>
          <w:rFonts w:ascii="Arial" w:cs="Arial" w:eastAsia="Arial" w:hAnsi="Arial"/>
          <w:b/>
          <w:bCs/>
          <w:sz w:val="24"/>
          <w:szCs w:val="24"/>
        </w:rPr>
        <w:t xml:space="preserve">6. Финансовое обеспечение Программы</w:t>
      </w:r>
    </w:p>
    <w:p>
      <w:pPr>
        <w:spacing w:after="60"/>
        <w:ind w:firstLine="567"/>
        <w:jc w:val="both"/>
      </w:pPr>
      <w:r>
        <w:rPr>
          <w:rFonts w:ascii="Arial" w:cs="Arial" w:eastAsia="Arial" w:hAnsi="Arial"/>
          <w:sz w:val="24"/>
          <w:szCs w:val="24"/>
        </w:rPr>
        <w:t xml:space="preserve">Реализация мер, предусмотренных настоящей Программой по поддержке и развитию электронной коммерции в Кыргызской Республики,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w:t>
      </w:r>
    </w:p>
    <w:p>
      <w:pPr>
        <w:spacing w:after="60"/>
        <w:ind w:firstLine="567"/>
        <w:jc w:val="both"/>
      </w:pPr>
      <w:r>
        <w:rPr>
          <w:rFonts w:ascii="Arial" w:cs="Arial" w:eastAsia="Arial" w:hAnsi="Arial"/>
          <w:sz w:val="24"/>
          <w:szCs w:val="24"/>
        </w:rPr>
        <w:t xml:space="preserve">Для обеспечения финансирования реализации настоящей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4"/>
          <w:szCs w:val="24"/>
        </w:rPr>
        <w:t xml:space="preserve">Устранение финансовых разрывов по отдельным мерам в период принятия настоящей Программы потребует согласования с партнерами по развитию для привлечения дополнительных ресурсов посредством проведения презентации данной Программы по поддержке и развитию электронной коммерции в Кыргызской Республике партнерам по развитию после ее принятия.</w:t>
      </w:r>
    </w:p>
    <w:p>
      <w:pPr>
        <w:spacing w:after="200" w:before="200"/>
        <w:jc w:val="center"/>
      </w:pPr>
      <w:r>
        <w:rPr>
          <w:rFonts w:ascii="Arial" w:cs="Arial" w:eastAsia="Arial" w:hAnsi="Arial"/>
          <w:b/>
          <w:bCs/>
          <w:sz w:val="24"/>
          <w:szCs w:val="24"/>
        </w:rPr>
        <w:t xml:space="preserve">7. Мониторинг и оценка Программы</w:t>
      </w:r>
    </w:p>
    <w:p>
      <w:pPr>
        <w:spacing w:after="60"/>
        <w:ind w:firstLine="56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настоящей Программы.</w:t>
      </w:r>
    </w:p>
    <w:p>
      <w:pPr>
        <w:spacing w:after="60"/>
        <w:ind w:firstLine="567"/>
        <w:jc w:val="both"/>
      </w:pPr>
      <w:r>
        <w:rPr>
          <w:rFonts w:ascii="Arial" w:cs="Arial" w:eastAsia="Arial" w:hAnsi="Arial"/>
          <w:sz w:val="24"/>
          <w:szCs w:val="24"/>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Источниками информации для мониторинга и оценки являются данные официальной статистики, территориальных подразделений Министерства экономики и коммерции и органов местного самоуправления.</w:t>
      </w:r>
    </w:p>
    <w:p>
      <w:pPr>
        <w:spacing w:after="60"/>
        <w:ind w:firstLine="567"/>
        <w:jc w:val="both"/>
      </w:pPr>
      <w:r>
        <w:rPr>
          <w:rFonts w:ascii="Arial" w:cs="Arial" w:eastAsia="Arial" w:hAnsi="Arial"/>
          <w:sz w:val="24"/>
          <w:szCs w:val="24"/>
        </w:rPr>
        <w:t xml:space="preserve">По завершении каждого из этапов настоящей Программы будет проведена оценка достигнутых результатов с целью выработки предложений по улучшению, а также корректирующих мер и дальнейшей работе по поддержке и развитию электронной коммерции.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по веб-сайтам. В результате пандемии КОВИД-19 их число было выше. Указанная цифра не включает индивидуальный подсчет МСП, зарегистрированных на рынках.</w:t>
      </w:r>
    </w:p>
    <w:p>
      <w:pPr>
        <w:spacing w:after="60"/>
        <w:ind w:firstLine="567"/>
        <w:jc w:val="both"/>
      </w:pPr>
      <w:r>
        <w:rPr>
          <w:rFonts w:ascii="Arial" w:cs="Arial" w:eastAsia="Arial" w:hAnsi="Arial"/>
          <w:sz w:val="24"/>
          <w:szCs w:val="24"/>
        </w:rPr>
        <w:t xml:space="preserve">(2) По результатам консультаций с заинтересованными сторонами.</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ict</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index</w:t>
      </w:r>
      <w:r>
        <w:rPr>
          <w:rFonts w:ascii="Arial" w:cs="Arial" w:eastAsia="Arial" w:hAnsi="Arial"/>
          <w:sz w:val="24"/>
          <w:szCs w:val="24"/>
        </w:rPr>
        <w:t xml:space="preserve">.</w:t>
      </w:r>
      <w:r>
        <w:rPr>
          <w:rFonts w:ascii="Arial" w:cs="Arial" w:eastAsia="Arial" w:hAnsi="Arial"/>
          <w:sz w:val="24"/>
          <w:szCs w:val="24"/>
        </w:rPr>
        <w:t xml:space="preserve">php</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w:t>
      </w:r>
      <w:r>
        <w:rPr>
          <w:rFonts w:ascii="Arial" w:cs="Arial" w:eastAsia="Arial" w:hAnsi="Arial"/>
          <w:sz w:val="24"/>
          <w:szCs w:val="24"/>
        </w:rPr>
        <w:t xml:space="preserve">site</w:t>
      </w:r>
      <w:r>
        <w:rPr>
          <w:rFonts w:ascii="Arial" w:cs="Arial" w:eastAsia="Arial" w:hAnsi="Arial"/>
          <w:sz w:val="24"/>
          <w:szCs w:val="24"/>
        </w:rPr>
        <w:t xml:space="preserve">%2</w:t>
      </w:r>
      <w:r>
        <w:rPr>
          <w:rFonts w:ascii="Arial" w:cs="Arial" w:eastAsia="Arial" w:hAnsi="Arial"/>
          <w:sz w:val="24"/>
          <w:szCs w:val="24"/>
        </w:rPr>
        <w:t xml:space="preserve">Fpress</w:t>
      </w:r>
      <w:r>
        <w:rPr>
          <w:rFonts w:ascii="Arial" w:cs="Arial" w:eastAsia="Arial" w:hAnsi="Arial"/>
          <w:sz w:val="24"/>
          <w:szCs w:val="24"/>
        </w:rPr>
        <w:t xml:space="preserve">&amp;</w:t>
      </w:r>
      <w:r>
        <w:rPr>
          <w:rFonts w:ascii="Arial" w:cs="Arial" w:eastAsia="Arial" w:hAnsi="Arial"/>
          <w:sz w:val="24"/>
          <w:szCs w:val="24"/>
        </w:rPr>
        <w:t xml:space="preserve">pid</w:t>
      </w:r>
      <w:r>
        <w:rPr>
          <w:rFonts w:ascii="Arial" w:cs="Arial" w:eastAsia="Arial" w:hAnsi="Arial"/>
          <w:sz w:val="24"/>
          <w:szCs w:val="24"/>
        </w:rPr>
        <w:t xml:space="preserve">=585&amp;</w:t>
      </w:r>
      <w:r>
        <w:rPr>
          <w:rFonts w:ascii="Arial" w:cs="Arial" w:eastAsia="Arial" w:hAnsi="Arial"/>
          <w:sz w:val="24"/>
          <w:szCs w:val="24"/>
        </w:rPr>
        <w:t xml:space="preserve">cid</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(4) ЕЭК ООН, 2020 год.</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GIZ</w:t>
      </w:r>
      <w:r>
        <w:rPr>
          <w:rFonts w:ascii="Arial" w:cs="Arial" w:eastAsia="Arial" w:hAnsi="Arial"/>
          <w:sz w:val="24"/>
          <w:szCs w:val="24"/>
        </w:rPr>
        <w:t xml:space="preserve">, 2019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по поддержке и развитию электронной коммерции в Кыргызской Республике на 2023-2026 годы</w:t>
      </w:r>
    </w:p>
    <w:p>
      <w:pPr>
        <w:spacing w:after="400" w:before="400"/>
        <w:jc w:val="center"/>
      </w:pPr>
      <w:r>
        <w:rPr>
          <w:rFonts w:ascii="Arial" w:cs="Arial" w:eastAsia="Arial" w:hAnsi="Arial"/>
          <w:b/>
          <w:bCs/>
          <w:sz w:val="32"/>
          <w:szCs w:val="32"/>
        </w:rPr>
        <w:t xml:space="preserve">БЮДЖЕТ
 Программы Кабинета Министров Кыргызской Республики по поддержке и развитию электронной коммерции в Кыргызской Республике на 2023-2026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1688"/>
        <w:gridCol w:w="1960"/>
        <w:gridCol w:w="1077"/>
        <w:gridCol w:w="725"/>
        <w:gridCol w:w="657"/>
        <w:gridCol w:w="484"/>
        <w:gridCol w:w="484"/>
        <w:gridCol w:w="484"/>
        <w:gridCol w:w="484"/>
        <w:gridCol w:w="561"/>
        <w:gridCol w:w="561"/>
        <w:gridCol w:w="757"/>
      </w:tblGrid>
      <w:tr>
        <w:tc>
          <w:tcPr>
            <w:tcW w:type="dxa" w:w="2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0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7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1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Госбюджет</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ПГИ и гранты</w:t>
            </w:r>
          </w:p>
        </w:tc>
        <w:tc>
          <w:tcPr>
            <w:vMerge w:val="continue"/>
            <w:tcBorders>
              <w:top w:val="single" w:color="CBBF9E" w:sz="4"/>
              <w:left w:val="none" w:color="auto" w:sz="0"/>
              <w:bottom w:val="single" w:color="CBBF9E" w:sz="4"/>
              <w:right w:val="single" w:color="CBBF9E" w:sz="4"/>
            </w:tcBorders>
          </w:tcP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 Оптимизация законодательной базы и регулирования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о внесении в законодательство в сфере защиты прав потребителей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нормативных правовых актов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предусматривающей введение знаков безопасности онлайн-магазинов, внедрение реестра локальных онлайн-магазинов для проверки потребителями юридического статуса и наличия знака безопасности у поставщика.</w:t>
            </w:r>
          </w:p>
          <w:p>
            <w:pPr>
              <w:jc w:val="left"/>
            </w:pPr>
            <w:r>
              <w:rPr>
                <w:rFonts w:ascii="Arial" w:cs="Arial" w:eastAsia="Arial" w:hAnsi="Arial"/>
                <w:sz w:val="24"/>
                <w:szCs w:val="24"/>
              </w:rPr>
              <w:t xml:space="preserve">Внедрить требования по защите местного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w:t>
            </w:r>
          </w:p>
          <w:p>
            <w:pPr>
              <w:jc w:val="left"/>
            </w:pPr>
            <w:r>
              <w:rPr>
                <w:rFonts w:ascii="Arial" w:cs="Arial" w:eastAsia="Arial" w:hAnsi="Arial"/>
                <w:sz w:val="24"/>
                <w:szCs w:val="24"/>
              </w:rPr>
              <w:t xml:space="preserve">Пересмотреть требования о публичной оферте</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 при МЭК КР, МЭК,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защиты персональных данных</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внести изменения в НПА в сфере электронного управления и защиты персонального характера в части обеспечения процесса сбора и хранения персональных данных граждан Кыргызской Республики, полученных в результате сделок электронной коммерции, а также в части введения обязательного размещения и хранения персональных данных граждан Кыргызской Республики на территории Кыргызской Республики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ГАЗПД,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Присоединение к Конвенции ООН о договорах международной купли-продажи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Закона Кыргызской Республики "О присоединении Кыргызской Республики к Конвенции ООН о договорах международной купли-продажи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ГНС,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Методологии сбора статистических данных в области электронной коммерции</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проект Методологии сбора статистических данных в области электронной коммерции.</w:t>
            </w:r>
          </w:p>
          <w:p>
            <w:pPr>
              <w:jc w:val="left"/>
            </w:pPr>
            <w:r>
              <w:rPr>
                <w:rFonts w:ascii="Arial" w:cs="Arial" w:eastAsia="Arial" w:hAnsi="Arial"/>
                <w:sz w:val="24"/>
                <w:szCs w:val="24"/>
              </w:rPr>
              <w:t xml:space="preserve">Изучить международный стандарт, опыт статистических служб стран СНГ и других стран в области статистики электронной коммерции: используемые методологии, статистический инструментарий, виды проводимых обследований, используемые источники информации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инвестиций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инвестициях в Кыргызской Республике" в части предоставления дополнительных преференций для субъектов предпринимательства электронной коммерции в целях обеспечения большей привлекательности законодательства для международных компаний-маркетплейсы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пункта 223 Плана мероприятий Кабинета Министров Кыргызской Республики по реализации Национальной программы развития Кыргызской Республики до 2026 года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проект Закона Кыргызской Республики "О Парке электронной коммерции", устанавливающий специальный правовой, налоговый режим, действующий в отношении резидентов ПЭК, устанавливающий освобождение от налогов и предусматривающий льготы по страховым взносам в соответствии с законодательством Кыргызской Республики, действующий в течение 15 лет с момента его создания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МФ, НБКР,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II. Продвижение инвестиций, повышение конкурентоспособности товаров и содействие экспорту</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регламент взаимодействия субъектов отношений в цифровом формате.</w:t>
            </w:r>
          </w:p>
          <w:p>
            <w:pPr>
              <w:jc w:val="left"/>
            </w:pPr>
            <w:r>
              <w:rPr>
                <w:rFonts w:ascii="Arial" w:cs="Arial" w:eastAsia="Arial" w:hAnsi="Arial"/>
                <w:sz w:val="24"/>
                <w:szCs w:val="24"/>
              </w:rPr>
              <w:t xml:space="preserve">Разработать техническое задание Цифровой платформы обмена данными о производителях и товарах между государственными контролирующими органами стран, субъектами внешнеэкономической деятельности.</w:t>
            </w:r>
          </w:p>
          <w:p>
            <w:pPr>
              <w:jc w:val="left"/>
            </w:pPr>
            <w:r>
              <w:rPr>
                <w:rFonts w:ascii="Arial" w:cs="Arial" w:eastAsia="Arial" w:hAnsi="Arial"/>
                <w:sz w:val="24"/>
                <w:szCs w:val="24"/>
              </w:rPr>
              <w:t xml:space="preserve">Внедрить интегрированную систему баз данных модели "G" to "G"</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ГТС, ТПП,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внедрение электронного взаимодействия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"Единого окна"</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ГП "ЦЕО"</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квартал 2026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специализированной региональной интернет-платформы, развитие электронной коммерции для реализации продукции кыргызских предприятий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кыргызским предприятиям в регистрации на электронных торговых площадках стран ЕАЭС, СНГ и КНР.</w:t>
            </w:r>
          </w:p>
          <w:p>
            <w:pPr>
              <w:jc w:val="left"/>
            </w:pPr>
            <w:r>
              <w:rPr>
                <w:rFonts w:ascii="Arial" w:cs="Arial" w:eastAsia="Arial" w:hAnsi="Arial"/>
                <w:sz w:val="24"/>
                <w:szCs w:val="24"/>
              </w:rPr>
              <w:t xml:space="preserve">Проводить работу по продвижению интернет-платформы Кыргызской Республики и брендов кыргызской продукции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2023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III. Совершенствование финансовой инфраструктуры и расширение доступа к финансовым услугам субъектов предпринимательства электронной коммерции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безналичных платежей</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снижению комиссионных сборов за осуществление операций по эквайрингу</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ОАО "Кыргыз почтасы"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квартал 2026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дистанционное оказание финансовых услуг субъектам предпринимательства в электронной коммерции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НБКР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Направление IV. Поддержка и содействие в подготовке и переподготовке кадров, развитие навыков и инициатив у субъектов цифрового предпринимательства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региональных центров развития и поддержки цифрового предпринимательства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специальные образовательные программы и программы поддержки для действующих и начинающих предпринимателей и молодежи, развития цифровых навыков в предпринимательстве, а также обучения основам финансового планирования и бюджетирования проектов</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МЭК, ОМСУ, ПЛКиИТ № 98, ТПП,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r>
              <w:rPr>
                <w:rFonts w:ascii="Arial" w:cs="Arial" w:eastAsia="Arial" w:hAnsi="Arial"/>
                <w:sz w:val="24"/>
                <w:szCs w:val="24"/>
              </w:rPr>
              <w:t xml:space="preserve"> квартал 2024 г.</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и усиление бизнес-ассоциаций в сфере электронной коммерции</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тренинги для органов государственной и муниципальной власти, бизнес-сообществ по практическому использованию методов анализа регулятивного воздействия, оценивающего влияние на уровень развития электронной коммерции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НАИ,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предпринимательских навыков и популяризация цифрового предпринимательства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вовлечению молодежи, женщин в обучение навыкам ведения цифрового предпринимательства.</w:t>
            </w:r>
          </w:p>
          <w:p>
            <w:pPr>
              <w:jc w:val="left"/>
            </w:pPr>
            <w:r>
              <w:rPr>
                <w:rFonts w:ascii="Arial" w:cs="Arial" w:eastAsia="Arial" w:hAnsi="Arial"/>
                <w:sz w:val="24"/>
                <w:szCs w:val="24"/>
              </w:rPr>
              <w:t xml:space="preserve">Обеспечить постоянное функционирование региональных бизнес-инкубаторов.</w:t>
            </w:r>
          </w:p>
          <w:p>
            <w:pPr>
              <w:jc w:val="left"/>
            </w:pPr>
            <w:r>
              <w:rPr>
                <w:rFonts w:ascii="Arial" w:cs="Arial" w:eastAsia="Arial" w:hAnsi="Arial"/>
                <w:sz w:val="24"/>
                <w:szCs w:val="24"/>
              </w:rPr>
              <w:t xml:space="preserve">Проводить обучения по нормам законодательства, содержащего требования к деятельности, продукции, процессу производства, качеству и безопасности</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МКИСиМП, МЭК, ГАИСиИ, ОМСУ, вузы, АЭК, бизнес-ассоциации (по согласованию)</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6"/>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Мониторинг и оценка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отчета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отчет по мониторинговому плану реализации программы по поддержке и развитию электронной коммерции в Кыргызской Республике на 2023-2026 годы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по итогам 6 месяцев</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АЭК</w:t>
      </w:r>
      <w:r>
        <w:rPr>
          <w:rFonts w:ascii="Arial" w:cs="Arial" w:eastAsia="Arial" w:hAnsi="Arial"/>
          <w:sz w:val="24"/>
          <w:szCs w:val="24"/>
        </w:rPr>
        <w:t xml:space="preserve">	</w:t>
      </w:r>
      <w:r>
        <w:rPr>
          <w:rFonts w:ascii="Arial" w:cs="Arial" w:eastAsia="Arial" w:hAnsi="Arial"/>
          <w:sz w:val="24"/>
          <w:szCs w:val="24"/>
        </w:rPr>
        <w:t xml:space="preserve">Ассоциация электронной коммерции Кыргызской Республики</w:t>
      </w:r>
    </w:p>
    <w:p>
      <w:pPr>
        <w:tabs>
          <w:tab w:val="right" w:pos="10178"/>
        </w:tabs>
        <w:spacing w:after="120"/>
      </w:pPr>
      <w:r>
        <w:rPr>
          <w:rFonts w:ascii="Arial" w:cs="Arial" w:eastAsia="Arial" w:hAnsi="Arial"/>
          <w:b/>
          <w:bCs/>
          <w:sz w:val="24"/>
          <w:szCs w:val="24"/>
        </w:rPr>
        <w:t xml:space="preserve">вузы</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w:t>
      </w:r>
    </w:p>
    <w:p>
      <w:pPr>
        <w:tabs>
          <w:tab w:val="right" w:pos="10178"/>
        </w:tabs>
        <w:spacing w:after="120"/>
      </w:pPr>
      <w:r>
        <w:rPr>
          <w:rFonts w:ascii="Arial" w:cs="Arial" w:eastAsia="Arial" w:hAnsi="Arial"/>
          <w:b/>
          <w:bCs/>
          <w:sz w:val="24"/>
          <w:szCs w:val="24"/>
        </w:rPr>
        <w:t xml:space="preserve">ГАИСиИ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МКИСиМП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НАИ</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ОАО "Кыргыз почтасы"</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 почтасы"</w:t>
      </w:r>
    </w:p>
    <w:p>
      <w:pPr>
        <w:tabs>
          <w:tab w:val="right" w:pos="10178"/>
        </w:tabs>
        <w:spacing w:after="120"/>
      </w:pPr>
      <w:r>
        <w:rPr>
          <w:rFonts w:ascii="Arial" w:cs="Arial" w:eastAsia="Arial" w:hAnsi="Arial"/>
          <w:b/>
          <w:bCs/>
          <w:sz w:val="24"/>
          <w:szCs w:val="24"/>
        </w:rPr>
        <w:t xml:space="preserve">ПЛКиИТ № 98</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 коммуникаций и информационных технологий № 98</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САР при МЭК КР</w:t>
      </w:r>
      <w:r>
        <w:rPr>
          <w:rFonts w:ascii="Arial" w:cs="Arial" w:eastAsia="Arial" w:hAnsi="Arial"/>
          <w:sz w:val="24"/>
          <w:szCs w:val="24"/>
        </w:rPr>
        <w:t xml:space="preserve">	</w:t>
      </w: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ТПП</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Кабинета Министров Кыргызской Республики по поддержке и развитию электронной коммерции в Кыргызской Республике на 2023-2026 годы</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Кабинета Министров Кыргызской Республики по поддержке и развитию электронной коммерции в Кыргызской Республике на 2023-2026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
        <w:gridCol w:w="1871"/>
        <w:gridCol w:w="1926"/>
        <w:gridCol w:w="880"/>
        <w:gridCol w:w="558"/>
        <w:gridCol w:w="719"/>
        <w:gridCol w:w="719"/>
        <w:gridCol w:w="719"/>
        <w:gridCol w:w="719"/>
        <w:gridCol w:w="749"/>
        <w:gridCol w:w="1104"/>
      </w:tblGrid>
      <w:tr>
        <w:tc>
          <w:tcPr>
            <w:tcW w:type="dxa" w:w="2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8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28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w:t>
            </w:r>
          </w:p>
        </w:tc>
        <w:tc>
          <w:tcPr>
            <w:tcW w:type="dxa" w:w="11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законодательства в сфере поддержки и развития электронной коммерции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нормативных правовых актов о внесении изменений в нормативные правовые акты</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НПА</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Утверждение НПА</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НСК, САР при МЭК,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в цифровой формат системы подтверждения страны происхождения товара (продукции) СТ-1 и создание электронной цифровой платформы по обмену и подтверждению требуемых данных</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функционирование цифровой платформы баз данных (100% оцифровка реестра предприятий, номенклатуры продукции) для автоматического подтверждения страны происхождения.</w:t>
            </w:r>
          </w:p>
          <w:p>
            <w:pPr>
              <w:jc w:val="left"/>
            </w:pPr>
            <w:r>
              <w:rPr>
                <w:rFonts w:ascii="Arial" w:cs="Arial" w:eastAsia="Arial" w:hAnsi="Arial"/>
                <w:sz w:val="24"/>
                <w:szCs w:val="24"/>
              </w:rPr>
              <w:t xml:space="preserve">Предоставить доступ к базам данных заинтересованных государственных органов</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МЭК, ТПП,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электронного взаимодействия государственных органов и участников внешнеэкономической деятельности по принципу "Единого окна"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техническое задание цифровой платформы обмена данными запрашиваемой информацией по модели "G" to "G" и "В" to "G" при осуществлении деятельности субъектами внешнеэкономической деятельности</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ГП "ЦЕО"</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специализированной региональной интернет-платформы, развитие электронной коммерции для реализации продукции кыргызских предприятий</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продвижению интернет-портала "Е-</w:t>
            </w:r>
            <w:r>
              <w:rPr>
                <w:rFonts w:ascii="Arial" w:cs="Arial" w:eastAsia="Arial" w:hAnsi="Arial"/>
                <w:sz w:val="24"/>
                <w:szCs w:val="24"/>
              </w:rPr>
              <w:t xml:space="preserve">commerce</w:t>
            </w:r>
            <w:r>
              <w:rPr>
                <w:rFonts w:ascii="Arial" w:cs="Arial" w:eastAsia="Arial" w:hAnsi="Arial"/>
                <w:sz w:val="24"/>
                <w:szCs w:val="24"/>
              </w:rPr>
              <w:t xml:space="preserve">"</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запуск электронной платформы "Е-</w:t>
            </w:r>
            <w:r>
              <w:rPr>
                <w:rFonts w:ascii="Arial" w:cs="Arial" w:eastAsia="Arial" w:hAnsi="Arial"/>
                <w:sz w:val="24"/>
                <w:szCs w:val="24"/>
              </w:rPr>
              <w:t xml:space="preserve">commerce</w:t>
            </w:r>
            <w:r>
              <w:rPr>
                <w:rFonts w:ascii="Arial" w:cs="Arial" w:eastAsia="Arial" w:hAnsi="Arial"/>
                <w:sz w:val="24"/>
                <w:szCs w:val="24"/>
              </w:rPr>
              <w:t xml:space="preserve">"</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АЭК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финансовой инфраструктуры и расширение доступа к финансовым услугам субъектов предпринимательства электронной коммерции</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работу по повышению доступа к банковским услугам предпринимателей в электронной торговле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ОАО "Кыргыз почтасы"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и содействие в подготовке и переподготовке кадров, развитие навыков и инициатив у субъектов цифрового предпринимательства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доли вновь созданных предпринимателей, открывших бизнес в электронной торговле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утверждение методических пособий</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2023-2027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 работ по повышению грамотности и навыков предпринимателей</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Утверждение и принятие Методических пособий, и хода реализации плана обучения</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МКИСиМП, МЭК, ГАИСиИ, ОМСУ, АЭК, бизнес-ассоциации (по согласованию)</w:t>
            </w:r>
          </w:p>
        </w:tc>
      </w:tr>
      <w:tr>
        <w:tc>
          <w:tcPr>
            <w:tcW w:type="dxa" w:w="2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 оценка Плана реализации Программы</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выше перечисленное</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2023-2026 гг.</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АЭК</w:t>
      </w:r>
      <w:r>
        <w:rPr>
          <w:rFonts w:ascii="Arial" w:cs="Arial" w:eastAsia="Arial" w:hAnsi="Arial"/>
          <w:sz w:val="24"/>
          <w:szCs w:val="24"/>
        </w:rPr>
        <w:t xml:space="preserve">	</w:t>
      </w:r>
      <w:r>
        <w:rPr>
          <w:rFonts w:ascii="Arial" w:cs="Arial" w:eastAsia="Arial" w:hAnsi="Arial"/>
          <w:sz w:val="24"/>
          <w:szCs w:val="24"/>
        </w:rPr>
        <w:t xml:space="preserve">Ассоциация электронной коммерции Кыргызской Республики</w:t>
      </w:r>
    </w:p>
    <w:p>
      <w:pPr>
        <w:tabs>
          <w:tab w:val="right" w:pos="10178"/>
        </w:tabs>
        <w:spacing w:after="120"/>
      </w:pPr>
      <w:r>
        <w:rPr>
          <w:rFonts w:ascii="Arial" w:cs="Arial" w:eastAsia="Arial" w:hAnsi="Arial"/>
          <w:b/>
          <w:bCs/>
          <w:sz w:val="24"/>
          <w:szCs w:val="24"/>
        </w:rPr>
        <w:t xml:space="preserve">вузы</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w:t>
      </w:r>
    </w:p>
    <w:p>
      <w:pPr>
        <w:tabs>
          <w:tab w:val="right" w:pos="10178"/>
        </w:tabs>
        <w:spacing w:after="120"/>
      </w:pPr>
      <w:r>
        <w:rPr>
          <w:rFonts w:ascii="Arial" w:cs="Arial" w:eastAsia="Arial" w:hAnsi="Arial"/>
          <w:b/>
          <w:bCs/>
          <w:sz w:val="24"/>
          <w:szCs w:val="24"/>
        </w:rPr>
        <w:t xml:space="preserve">ГАИСиИ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НАИ</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ОАО "Кыргыз почтасы"</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 почтасы"</w:t>
      </w:r>
    </w:p>
    <w:p>
      <w:pPr>
        <w:tabs>
          <w:tab w:val="right" w:pos="10178"/>
        </w:tabs>
        <w:spacing w:after="120"/>
      </w:pPr>
      <w:r>
        <w:rPr>
          <w:rFonts w:ascii="Arial" w:cs="Arial" w:eastAsia="Arial" w:hAnsi="Arial"/>
          <w:b/>
          <w:bCs/>
          <w:sz w:val="24"/>
          <w:szCs w:val="24"/>
        </w:rPr>
        <w:t xml:space="preserve">ПЛКиИТ № 98</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 коммуникаций и информационных технологий № 98</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САР при МЭК КР</w:t>
      </w:r>
      <w:r>
        <w:rPr>
          <w:rFonts w:ascii="Arial" w:cs="Arial" w:eastAsia="Arial" w:hAnsi="Arial"/>
          <w:sz w:val="24"/>
          <w:szCs w:val="24"/>
        </w:rPr>
        <w:t xml:space="preserve">	</w:t>
      </w: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ТПП</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iw9rcvpchqckb8ahkwa">
      <w:r>
        <w:rPr>
          <w:rFonts w:ascii="Arial" w:cs="Arial" w:eastAsia="Arial" w:hAnsi="Arial"/>
          <w:color w:val="132D3F"/>
          <w:sz w:val="16"/>
          <w:szCs w:val="16"/>
          <w:u w:val="single"/>
        </w:rPr>
        <w:t xml:space="preserve">dalil.kg/document/159870</w:t>
      </w:r>
    </w:hyperlink>
  </w:p>
  <w:p>
    <w:pPr>
      <w:spacing w:after="0" w:before="40"/>
      <w:jc w:val="center"/>
    </w:pPr>
    <w:hyperlink w:history="1" r:id="rIdc04xnn7wsxpjiihe0b1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6jgpy-r3zciginxqfni" Type="http://schemas.openxmlformats.org/officeDocument/2006/relationships/hyperlink" Target="https://dalil.kg/document/159827" TargetMode="External"/><Relationship Id="rIdfonwuw5pd8wex8agzqc5v" Type="http://schemas.openxmlformats.org/officeDocument/2006/relationships/hyperlink" Target="https://dalil.kg/document/2300334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iw9rcvpchqckb8ahkwa" Type="http://schemas.openxmlformats.org/officeDocument/2006/relationships/hyperlink" Target="https://dalil.kg/document/159870" TargetMode="External"/><Relationship Id="rIdc04xnn7wsxpjiihe0b1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2026-09-24T21:18:03.961Z</dcterms:created>
  <dcterms:modified xsi:type="dcterms:W3CDTF">2026-09-24T21:18:03.961Z</dcterms:modified>
</cp:coreProperties>
</file>

<file path=docProps/custom.xml><?xml version="1.0" encoding="utf-8"?>
<Properties xmlns="http://schemas.openxmlformats.org/officeDocument/2006/custom-properties" xmlns:vt="http://schemas.openxmlformats.org/officeDocument/2006/docPropsVTypes"/>
</file>