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0ekuhtk3wbe7rndubpq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9 февраля 2023 года № 53)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обеспечения прослеживаемости лекарственных средств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обеспечения прослеживаемости лекарственных средств (далее - Порядок) определяет требования к процессу прослеживаемости лекарственных средств, производимых, ввозимых и реализуемых на территории Кыргызской Республики, к участникам оборота лекарственных средств и их функции, порядок регистрации участников оборота лекарственных средств в Информационной системе "Электронная база данных лекарственных средств и медицинских изделий" и информационного обмена участников оборота лекарственных средств, порядок предоставления кодов цифровой маркировки участникам оборота лекарственных средств в Информационной системе "Электронная база данных лекарственных средств и медицинских изделий", требования к нанесению кода цифровой маркировки на лекарственные средства, подлежащие прослеживаемости, порядок предоставления сведений в Информационной системе "Электронная база данных лекарственных средств и медицинских изделий" о вводе лекарственных средств в оборот, находящихся в обороте и выводе из оборота, и внесения в них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целей настоящего Порядка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агрегирование</w:t>
      </w:r>
      <w:r>
        <w:rPr>
          <w:rFonts w:ascii="Arial" w:cs="Arial" w:eastAsia="Arial" w:hAnsi="Arial"/>
          <w:sz w:val="24"/>
          <w:szCs w:val="24"/>
        </w:rPr>
        <w:t xml:space="preserve"> - документальное подтверждение иерархического отношения между наружной упаковкой, имеющей уникальный идентификационный код, и содержащимися в ней произведенными продуктами, также имеющими уникальный идентификационный код, в целях усовершенствования рабочих процессов, связанных с сериализацией и предусматривающих обмен данными и/или выполнение требований нормативных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сериализация</w:t>
      </w:r>
      <w:r>
        <w:rPr>
          <w:rFonts w:ascii="Arial" w:cs="Arial" w:eastAsia="Arial" w:hAnsi="Arial"/>
          <w:sz w:val="24"/>
          <w:szCs w:val="24"/>
        </w:rPr>
        <w:t xml:space="preserve"> - процесс и результаты определения, присвоения и нанесения уникальных кодов на упаковку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ввод в оборот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первичная регистрация кода цифровой маркировки лекарственных средств в системе прослеживаемости;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вывод из оборота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прекращение действия регистрации кода цифровой маркировки лекарственных средств в системе прослеживаемости в отношении конкретной единицы лекарственного средства при достижении конечного потребителя или уничтожении;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первичная (внутренняя) упаковка</w:t>
      </w:r>
      <w:r>
        <w:rPr>
          <w:rFonts w:ascii="Arial" w:cs="Arial" w:eastAsia="Arial" w:hAnsi="Arial"/>
          <w:sz w:val="24"/>
          <w:szCs w:val="24"/>
        </w:rPr>
        <w:t xml:space="preserve"> - упаковка, непосредственно соприкасающаяся с лекарственным средством;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вторичная (наружная или потребительская) упаковка</w:t>
      </w:r>
      <w:r>
        <w:rPr>
          <w:rFonts w:ascii="Arial" w:cs="Arial" w:eastAsia="Arial" w:hAnsi="Arial"/>
          <w:sz w:val="24"/>
          <w:szCs w:val="24"/>
        </w:rPr>
        <w:t xml:space="preserve"> - упаковка, в которую помещается лекарственный препарат в первичной и промежуточной упаковке;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групповая упаковка</w:t>
      </w:r>
      <w:r>
        <w:rPr>
          <w:rFonts w:ascii="Arial" w:cs="Arial" w:eastAsia="Arial" w:hAnsi="Arial"/>
          <w:sz w:val="24"/>
          <w:szCs w:val="24"/>
        </w:rPr>
        <w:t xml:space="preserve"> - упаковка, объединяющая наборы однородных (в рамках одного кода упаковки лекарственного средства, также называемого GTIN (Global Trade Item Number) - глобальный номер товарной продукции в единой международной базе товаров, наносится на упаковку товара по стандартизированным правилам в виде штрихового кода) вторичных (а при их отсутствии - первичных) потребительских упаковок лекарственных средств, используемых для хранения и транспортировки с целью защиты их от повреждений при перемещении, и образующая самостоятельную транспортную единицу. На групповую упаковку наносится код агрегации. Групповая упаковка может включать транспортные упаковки меньшего размера (объема);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индивидуальный номер упаковки (код сериализации)</w:t>
      </w:r>
      <w:r>
        <w:rPr>
          <w:rFonts w:ascii="Arial" w:cs="Arial" w:eastAsia="Arial" w:hAnsi="Arial"/>
          <w:sz w:val="24"/>
          <w:szCs w:val="24"/>
        </w:rPr>
        <w:t xml:space="preserve"> - последовательность символов, уникально идентифицирующая вторичную упаковку лекарственного средства в рамках одного кода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код упаковки лекарственного средства (GTIN)</w:t>
      </w:r>
      <w:r>
        <w:rPr>
          <w:rFonts w:ascii="Arial" w:cs="Arial" w:eastAsia="Arial" w:hAnsi="Arial"/>
          <w:sz w:val="24"/>
          <w:szCs w:val="24"/>
        </w:rPr>
        <w:t xml:space="preserve"> - код, присваиваемый ассоциацией GS1 (GS1 - ведущая международная организация, которая управляет многоотраслевой системой товарной нумерации. GS1 разрабатывает стандарты штрихового кодирования и решения, направленные на повышение эффективности и прозрачности цепей поставок во всем мире) лекарственному средству в соответствии с правилами, установленными GS1, обеспечивающий учет лекарственного средства в государственном реестре лекарственных средств и глобальном каталоге GS1;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код цифровой маркировки</w:t>
      </w:r>
      <w:r>
        <w:rPr>
          <w:rFonts w:ascii="Arial" w:cs="Arial" w:eastAsia="Arial" w:hAnsi="Arial"/>
          <w:sz w:val="24"/>
          <w:szCs w:val="24"/>
        </w:rPr>
        <w:t xml:space="preserve"> - уникальная последовательность символов в машиночитаемой форме, представленная в виде двумерного штрихового кода Data Matrix (код Data Matrix - двумерный матричный штрихкод, представляющий собой черно-белые элементы или элементы нескольких различных степеней яркости, обычно в форме квадрата, размещенные в прямоугольной или квадратной группе);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код агрегации</w:t>
      </w:r>
      <w:r>
        <w:rPr>
          <w:rFonts w:ascii="Arial" w:cs="Arial" w:eastAsia="Arial" w:hAnsi="Arial"/>
          <w:sz w:val="24"/>
          <w:szCs w:val="24"/>
        </w:rPr>
        <w:t xml:space="preserve"> - последовательность символов, представляющая собой уникальный экземпляр групповой упаковки;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цифровая маркировка</w:t>
      </w:r>
      <w:r>
        <w:rPr>
          <w:rFonts w:ascii="Arial" w:cs="Arial" w:eastAsia="Arial" w:hAnsi="Arial"/>
          <w:sz w:val="24"/>
          <w:szCs w:val="24"/>
        </w:rPr>
        <w:t xml:space="preserve"> - нанесение кода цифровой маркировки на упаковку лекарственного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протокол передачи данных</w:t>
      </w:r>
      <w:r>
        <w:rPr>
          <w:rFonts w:ascii="Arial" w:cs="Arial" w:eastAsia="Arial" w:hAnsi="Arial"/>
          <w:sz w:val="24"/>
          <w:szCs w:val="24"/>
        </w:rPr>
        <w:t xml:space="preserve"> - формализованный набор требований к структуре информационных сообщений и алгоритму обмена сообщениями между программами и/или устройствами;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статус кода цифровой маркировки</w:t>
      </w:r>
      <w:r>
        <w:rPr>
          <w:rFonts w:ascii="Arial" w:cs="Arial" w:eastAsia="Arial" w:hAnsi="Arial"/>
          <w:sz w:val="24"/>
          <w:szCs w:val="24"/>
        </w:rPr>
        <w:t xml:space="preserve"> - состояние кода прослеживаемости, определяемое Информационной системой "Электронная база данных лекарственных средств и медицинских изделий", которое изменяется при реализации процессов, предусмотренных настоящим Порядком;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оборота прослеживаемых лекарственных средств (далее - участник оборота)</w:t>
      </w:r>
      <w:r>
        <w:rPr>
          <w:rFonts w:ascii="Arial" w:cs="Arial" w:eastAsia="Arial" w:hAnsi="Arial"/>
          <w:sz w:val="24"/>
          <w:szCs w:val="24"/>
        </w:rPr>
        <w:t xml:space="preserve"> - юридические и физические лица, осуществляющие фармацевтическую или медицинскую деятельность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стикер</w:t>
      </w:r>
      <w:r>
        <w:rPr>
          <w:rFonts w:ascii="Arial" w:cs="Arial" w:eastAsia="Arial" w:hAnsi="Arial"/>
          <w:sz w:val="24"/>
          <w:szCs w:val="24"/>
        </w:rPr>
        <w:t xml:space="preserve"> - носитель информации, предназначенный для нанесения кода цифровой маркировки на упаковку лекарственных средств способом, не допускающим его отделение от упаковки без его повреждения;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система "Электронная база данных лекарственных средств и медицинских изделий"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обеспечивающая учет движения лекарственных средств и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Информационной системы "Электронная база данных лекарственных средств и медицинских изделий"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государственных орган в сфере обращения лекарственных средств и медицинских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Порядка распространяется на лекарственные средства, находящиеся в обращении на территории Кыргызской Республики и подлежащие прослеживанию.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Действие настоящего Порядка не распространяется на лекарственные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находящиеся на временном хранении либо помещенные под таможенную процедуру таможенного склада;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помещаемые под таможенную процедуру таможенного транзита для перевозки (транспортировки) по таможенной территории Евразийского экономического союза иностранной продукции от таможенного органа в месте прибытия до таможенного органа в месте убытия;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помещаемые под таможенную процедуру таможенного транзита для перевозки (транспортировки) по таможенной территории Евразийского экономического союза иностранных лекарственных средств от таможенного органа в месте прибытия до внутреннего таможенного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помещаемые под таможенные процедуры в целях дальнейшего вывоза за пределы таможенной территории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производимые в целях вывоза на территорию государств - членов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помещаемые под таможенную процедуру свободного склада;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предназначенные для проведения испытаний в целях регистрации и оценки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ввозимые на территорию Кыргызской Республики или произведенные на территории Кыргызской Республики организаторами и участниками международных выставок и ярмарок в качестве образцов и экспонатов и не предназначенные для реализации (продажи);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ввозимые в Кыргызскую Республику физическими лицами и приобретенные ими для личного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предназначенные для пользования дипломатическими представительствами, консульскими учреждениями, международными, межгосударственными и межправительственными организациями, их представительствами, а также представительствами государств при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случаях,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Соглашения о маркировке товаров средствами идентификации в Евразийском экономическом союзе, ратифицированного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маркировке товаров средствами идентификации в Евразийском экономическом союзе, подписанного от 2 февраля 2018 года в городе Алматы".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Прослеживаемость лекарственных средств обеспечивается путем передачи данных в Информационную систему "Электронная база данных лекарственных средств и медицинских изделий" (далее - ИС ЭБД) о вводе лекарственных средств в оборот, с последующим считыванием и распознаванием кодов цифровой маркировки участниками оборота при движении лекарственных средств от одного участника другому участнику оборота до вывода из оборота лекарственных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 ЭБД является информационной системой, обеспечивающей учет движения лекарственных средств на территории Кыргызской Республики. Функционирование ИС ЭБД обеспечивает оператор ИС ЭБД.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Оператор обеспечивает возможность регистрации и хранение в ИС ЭБД следующих сведений: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участниках оборота;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лекарственных средствах, подлежащих обязательной прослеживаемости;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кодах цифровой маркировки лекарственных средств, предоставленных участникам оборота;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нарушениях требований об обязательной прослеживаемости лекарственных средств, выявленных потребителями;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вводе в оборот, о движении прослеживаемых лекарственных средств и их выводе из оборота;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 текущем статусе прослеживаемых лекарственных средств,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государственной регистрации лекарственного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заключения о качестве лекарственного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отзыве лекарственного средства с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применении лекарственного средства, включая инструкцию о медицинском применении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Информационное взаимодействие участников оборота лекарственных средств с ИС ЭБД осуществляется с использованием протоколов передачи данных путем обмена сообщениями, формат которых размещается на официальном сайте ЭБД в сети Интернет.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Участники оборота должны быть зарегистрированы (иметь учетную запись) в ИС ЭБД и иметь оборудование для нанесения, считывания и распознавания кодов цифровой маркировки.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Регистрация участников оборота лекарственных средств в ИС ЭБД и предоставление им доступа к личному кабинету осуществляются на основании действующей лицензии на фармацевтическую или медицинскую деятельность, или на основании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Участнику оборота предоставляется учетная запись, которая используется для работы с личным кабинетом, а также для подключения информационных систем с целью обмена сообщениями (интеграции).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оборота обязуется предоставить адрес электронной почты и номер телефона. Участник оборота несет ответственность за доступ к учетной записи, включая добавление пользователей и изменение их прав доступа к функциям ИС ЭБД, управление паролями и иные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Ответственность за полноту, достоверность и своевременность направляемых в ИС ЭБД сведений несут участники оборота, предоставляющие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Доступ участника оборота к ИС ЭБД прекращается при наличии одного из следующих оснований: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прекращение действия лицензии на фармацевтическую или медицинскую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отзыв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прекращение деятельности юридического лица или индивидуального предпринимателя.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Выпуск кодов цифровой маркировки осуществляется производителями лекарственных средств или оператором ИС ЭБД. В случае выпуска кодов цифровой маркировки оператором ИС ЭБД выдача кодов из ИС ЭБД является бесплатной.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нанесения кодов цифровой маркировки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Нанесение кодов цифровой маркировки обеспечивается держателями регистрационных удостоверений лекарственных средств, производителями лекарственных средств, уполномоченными представительствами иностранных производителей и (или) филиалами или дочерними организациями на территории Кыргызской Республики, или импортерами, осуществляющими ввоз лекарственных средств на территорию Кыргызской Республики, при отсутствии у иностранного производителя представительства или филиала, или дочерней организации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Субъекты, перечисленные в пункте 14 настоящего Порядка, должны обеспечить соблюдение требований к составу и нанесению кода цифровой маркировки, предусмотренных в </w:t>
      </w:r>
      <w:hyperlink w:history="1" r:id="rIdaiedjwxqfshe6jrftuv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Код цифровой маркировки наносится на упаковку с использованием одного из следующих методов: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прямое нанесение кода цифровой маркировки при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непрямое нанесение (стикерирование) - осуществляется с применением кода цифровой маркировки на самоклеющейся бумаге в виде стикера.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прослеживаемости лекарственных средств, маркированных кодами цифровой идентификации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Ввод в оборот лекарственных средств с кодами цифровой маркировки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производстве лекарственных средств на территории Кыргызской Республики - путем направления производителем в ИС ЭБД уведомления о производстве лекарственного средства, по форме, утверждаемой уполномоченным органом, с подтверждением кодов цифровой маркировки при передаче произведенных лекарственных средств на склад готовой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ввозе лекарственных средств с территории государств, не являющихся государствами - членами ЕАЭС, - путем направления участником оборота в ИС ЭБД уведомления о ввозе в Кыргызскую Республику лекарственных средств для внутреннего потребления, по форме, утверждаемой уполномоченным органом, после выпуска таможенными органами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ввозе лекарственных средств с территории государств - членов ЕАЭС - путем направления участником оборота (импортером или дистрибьютором) в ИС ЭБД уведомления о принятии на склад ввезенных лекарственных средств по форме, утверждаемой уполномоченным органом, с подтверждением кодов прослеживаемости.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Учет движения лекарственных средств с кодами цифровой маркировки на территории Кыргызской Республики осуществляется путем регистрации в ИС ЭБД уведомлений от участников оборота о передаче и (или) реализации лекарственных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передаче и (или) реализации лекарственных средств с кодами цифровой маркировки другому участнику оборота отправитель лекарственных средств формирует уведомление об их отгрузке по форме, утверждаемой уполномоченным органом, и направляет в ИС ЭБД в момент фактической их передачи и (или)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Участник оборота, осуществляющий приемку лекарственных средств, обеспечивает передачу в ИС ЭБД уведомления о приемке лекарственных средств по форме, утверждаемой уполномоченным органом, в момент фактической приемки.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выявлении расхождений при приемке лекарственных средств получатель лекарственных средств формирует уведомление о выявленных расхождениях по форме, утверждаемой уполномоченным органом, и направляет его отправителю, передавшему и (или) реализовавшему лекарственные средства, для внесения изменений в ранее отправленное уведомление об отгрузке.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Вывод лекарственных средств из оборота с кодами цифровой маркировки осуществляется участником оборота при отборе образцов, отпуске, розничной реализации, выдаче для медицинского применения, экспорте, реэкспорте, утрате, уничтожении, конфискации путем направления уведомления в ИС ЭБД в момент фактического совершения вышеперечисленных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повторного ввода в оборот лекарственных средств, ранее выведенных из оборота по причинам, указанных в пункте 22 настоящего Порядка, а именно при экспорте, реэкспорте и возврате конфискованных лекарственных средств, участник оборота направляет в ИС ЭБД уведомление о повторном вводе в оборот лекарственных средств по форме, утверждаемой уполномоченным органом.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Доступ к информации, размещенной в ИС ЭБД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ИС ЭБД потребители имеют возможность проверить посредством мобильного приложения следующую информацию о лекарственном средстве по нанесенному коду цифровой маркировки: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статус лекарственного средства (находится в обороте/выведен из оборота);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производителе;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отпуска;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годности;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заключения о качестве;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инструкция по медицинскому применению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Порядку обеспечения прослеживаемости лекарственных средств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
 к составу и нанесению кодов прослеживаемости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Требования к составу кодов прослеживаемости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Информационной системе "Электронная база данных лекарственных средств и медицинских изделий" могут загружаться коды цифровой маркировки различного состава при условии, что они отвечают следующим минимальным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элементы (блоки) кода цифровой маркировки соответствуют стандарту "</w:t>
      </w:r>
      <w:r>
        <w:rPr>
          <w:rFonts w:ascii="Arial" w:cs="Arial" w:eastAsia="Arial" w:hAnsi="Arial"/>
          <w:sz w:val="24"/>
          <w:szCs w:val="24"/>
        </w:rPr>
        <w:t xml:space="preserve">GS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Application Identifiers</w:t>
      </w:r>
      <w:r>
        <w:rPr>
          <w:rFonts w:ascii="Arial" w:cs="Arial" w:eastAsia="Arial" w:hAnsi="Arial"/>
          <w:sz w:val="24"/>
          <w:szCs w:val="24"/>
        </w:rPr>
        <w:t xml:space="preserve">" </w:t>
      </w:r>
      <w:r>
        <w:rPr>
          <w:rFonts w:ascii="Arial" w:cs="Arial" w:eastAsia="Arial" w:hAnsi="Arial"/>
          <w:sz w:val="24"/>
          <w:szCs w:val="24"/>
        </w:rPr>
        <w:t xml:space="preserve">www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gs</w:t>
      </w: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org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standards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barcodes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application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identifiers </w:t>
      </w:r>
      <w:r>
        <w:rPr>
          <w:rFonts w:ascii="Arial" w:cs="Arial" w:eastAsia="Arial" w:hAnsi="Arial"/>
          <w:sz w:val="24"/>
          <w:szCs w:val="24"/>
        </w:rPr>
        <w:t xml:space="preserve">(коды применения GS1);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первым элементом кода цифровой маркировки является код лекарственного средства (GTIN), состоящий из 14 цифр и указанный в реестре лекарственных средств ИС ЭБД. Кодом применения данного элемента (AI) в соответствии со стандартом GS1 является "01". При использовании кодов EAN (13 цифр) они дополняются 0 слева;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вторым элементом кода цифровой маркировки является индивидуальный серийный номер упаковки. Кодом применения данного элемента (AI) в соответствии со стандартом GS1 является "21". Серийный номер упаковки является уникальным для кода лекарственного средства. Завершающим символом второго элемента является символ - разделитель с кодом 232 (FNC1) либо 29 (GS) в таблице символов ASCII;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элементы кода могут быть любыми (включая электронно-цифровую подпись) при условии, что они соответствуют стандарту GS1 и обозначены соответствующими кодами применения.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целевой маркировке лекарственных средств для реализации в Кыргызской Республике рекомендуется придерживаться следующего состава кодов цифровой маркировки: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87"/>
        <w:gridCol w:w="1343"/>
        <w:gridCol w:w="3794"/>
        <w:gridCol w:w="2453"/>
        <w:gridCol w:w="1500"/>
      </w:tblGrid>
      <w:tr>
        <w:tc>
          <w:tcPr>
            <w:tcW w:type="dxa" w:w="10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AI
 (код применения)</w:t>
            </w:r>
          </w:p>
        </w:tc>
        <w:tc>
          <w:tcPr>
            <w:tcW w:type="dxa" w:w="1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</w:t>
            </w:r>
          </w:p>
        </w:tc>
        <w:tc>
          <w:tcPr>
            <w:tcW w:type="dxa" w:w="3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Формат</w:t>
            </w:r>
          </w:p>
        </w:tc>
        <w:tc>
          <w:tcPr>
            <w:tcW w:type="dxa" w:w="24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Пояснение</w:t>
            </w:r>
          </w:p>
        </w:tc>
        <w:tc>
          <w:tcPr>
            <w:tcW w:type="dxa" w:w="15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Пример</w:t>
            </w:r>
          </w:p>
        </w:tc>
      </w:tr>
      <w:tr>
        <w:tc>
          <w:tcPr>
            <w:tcW w:type="dxa" w:w="10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FNC1 (Codeword 232)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GS (ASCII 29)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Означает, что код соответствует стандарту GS1 Data Matrix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GTIN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продукта 14 цифр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GTIN код продукта. В случае 13-значного кода (EAN) дополняется слева нулем (0) до 14 знаков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08699536090115</w:t>
            </w:r>
          </w:p>
        </w:tc>
      </w:tr>
      <w:tr>
        <w:tc>
          <w:tcPr>
            <w:tcW w:type="dxa" w:w="10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Уникальный номер упаковки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 переменной длины (рекомендуется минимальная длина 14 символов), состоящий из цифр [0-9] и/или заглавных латинских букв [A-Z]. Использование только букв или только цифр - допустимо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Уникальный номер упаковки предоставляется ИС ЭБД либо формируется производителем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5UNDALD3W6K44YIH</w:t>
            </w:r>
          </w:p>
        </w:tc>
      </w:tr>
      <w:tr>
        <w:tc>
          <w:tcPr>
            <w:tcW w:type="dxa" w:w="10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FNC1 (Codeword 232)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GS (ASCII 29)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Означает окончание блока данных уникального номера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годности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 фиксированной длины 6 цифр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Последний день срока годности в формате YYMMDD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270131</w:t>
            </w:r>
          </w:p>
        </w:tc>
      </w:tr>
      <w:tr>
        <w:tc>
          <w:tcPr>
            <w:tcW w:type="dxa" w:w="10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партии (серии)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 переменной длины, состоящий из цифр [0-9] и/или заглавных латинских букв [A-Z]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производственной партии (серии продукта)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22262012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Требования к нанесению кодов прослеживаемости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цифровой маркировки лекарственных средств используется нанесенный на упаковку код, представленный в виде двумерного штрихового кода GS1 Data Matrix, пригодного для машинного считывания.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облегчения визуального контроля правильности считывания вместе с двумерным штриховым кодом наносится человекочитаемая информация (HRI), включающая элементы: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GTIN (обязательно);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уникальный номер упаковки (обязательно);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окончания годности упаковки (необязательно);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производственной партии (серии) ЛС (необязательно).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Печатные обозначения (метки) вышеперечисленных элементов при нанесении человекочитаемой информации не регламентируются.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Нанесенный на упаковку двумерный штриховой код отвечает следующим техническим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соответствие стандарту</w:t>
      </w:r>
      <w:r>
        <w:rPr>
          <w:rFonts w:ascii="Arial" w:cs="Arial" w:eastAsia="Arial" w:hAnsi="Arial"/>
          <w:sz w:val="24"/>
          <w:szCs w:val="24"/>
        </w:rPr>
        <w:t xml:space="preserve"> ISO/IEC 16022:2006 (Data Matrix bar code symbology specification);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нанесен с уровнем класса качества С или выше в соответствии со стандартом ISO/IEC 15415:2011, ISO 22742:2005;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использована функция распознавания и коррекции ошибок не ниже чем Data Matrix ЕСС200;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нанесен на ровную белую поверхность с достаточным контрастом;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обеспечена устойчивость печати к выцветанию до конца срока годности лекарственного средства при соблюдении условий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при использовании стикеров обеспечена невозможность отделения стикера от упаковки без его повреждения.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Оборудование для считывания двумерных штриховых кодов должно позволять осуществлять считывание кодов, нанесенных в соответствии со стандартом ISO/IEC 15415:2011, ISO 22742:2005.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Код цифровой маркировки, нанесенный на упаковку лекарственного средства, не может быть использован (сформирован) повторно.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Код цифровой маркировки групповой упаковки формируется участником оборота, осуществляющим агрегирование (объединение) потребительских упаковок лекарственных средств в групповую упаковку, самостоятельно, в виде линейного штрихового кода, соответствующего стандарту международной организации в области стандартизации учета и штрихового кодирования логистических единиц ГС1-128, с уникальным идентификатором групповой упаковки в виде серийного кода, представленного в виде цифрового номера SSCC код (ССЦЦ код), и идентифицируется кодом применения А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="00".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Код цифровой маркировки групповой упаковки наносится на лицевую или боковую часть каждой отдельной групповой упаковки по усмотрению участника оборота в целях удобства и упрощения агрегации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wgq70nj69tr7dlish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dalil.kg/document/159916</w:t>
      </w:r>
    </w:hyperlink>
  </w:p>
  <w:p>
    <w:pPr>
      <w:spacing w:after="0" w:before="40"/>
      <w:jc w:val="center"/>
    </w:pPr>
    <w:hyperlink w:history="1" r:id="rIddkuvy4q_h9srgr8i2wv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ekuhtk3wbe7rndubpqeb" Type="http://schemas.openxmlformats.org/officeDocument/2006/relationships/hyperlink" Target="https://dalil.kg/document/159913" TargetMode="External"/><Relationship Id="rIdaiedjwxqfshe6jrftuvvn" Type="http://schemas.openxmlformats.org/officeDocument/2006/relationships/hyperlink" Target="https://dalil.kg/document/159916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wgq70nj69tr7dlishvq" Type="http://schemas.openxmlformats.org/officeDocument/2006/relationships/hyperlink" Target="https://dalil.kg/document/159916" TargetMode="External"/><Relationship Id="rIddkuvy4q_h9srgr8i2wv3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2026-09-25T03:18:46.006Z</dcterms:created>
  <dcterms:modified xsi:type="dcterms:W3CDTF">2026-09-25T03:18:46.006Z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