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qxqogk9phhmz8qpjhkc_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lbuxkorgzwujz_1ok2fp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6 февраля 2023 года № 51)</w:t>
      </w:r>
    </w:p>
    <w:p>
      <w:pPr>
        <w:spacing w:after="400" w:before="400"/>
        <w:jc w:val="center"/>
      </w:pPr>
      <w:r>
        <w:rPr>
          <w:rFonts w:ascii="Arial" w:cs="Arial" w:eastAsia="Arial" w:hAnsi="Arial"/>
          <w:b/>
          <w:bCs/>
          <w:sz w:val="32"/>
          <w:szCs w:val="32"/>
        </w:rPr>
        <w:t xml:space="preserve">ПОЛОЖЕНИЕ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по подготовке и переподготовке водителей автомототранспортных средств (далее - лицензия) уполномоченным государственным органом в сфере обеспечения безопасности дорожного движения (далее - лицензиар).</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для осуществления образовательной деятельности по подготовке и переподготовке водителей автомототранспортных средств (далее - образовательная деятельность) обязаны получить лицензию в порядке, установленном </w:t>
      </w:r>
      <w:hyperlink w:history="1" r:id="rIdmx20yqjg14g58fplqnfg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24"/>
          <w:szCs w:val="24"/>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лицензиару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w:t>
      </w:r>
      <w:hyperlink w:history="1" r:id="rIdivwcl6n0pgomuxndwfpi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государственным органом в области образования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или аренды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учебных программ для дополнительного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санитарным нормам и правилам с указанием максимального количества обучающихся с учетом форм и сменности обучения;</w:t>
      </w:r>
    </w:p>
    <w:p>
      <w:pPr>
        <w:spacing w:after="60"/>
        <w:ind w:firstLine="567"/>
        <w:jc w:val="both"/>
      </w:pPr>
      <w:r>
        <w:rPr>
          <w:rFonts w:ascii="Arial" w:cs="Arial" w:eastAsia="Arial" w:hAnsi="Arial"/>
          <w:sz w:val="24"/>
          <w:szCs w:val="24"/>
        </w:rPr>
        <w:t xml:space="preserve">- заключения органов противопожарной безопасности о соответствии зданий, помещений и сооружений, необходимых для осуществления образовательной деятельности;</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заявленной образовательной программе согласно </w:t>
      </w:r>
      <w:hyperlink w:history="1" r:id="rIdshnl6vubzlb8u8jueqw-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согласно </w:t>
      </w:r>
      <w:hyperlink w:history="1" r:id="rIdhv7zt_nwdixg6ymobqtf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согласно </w:t>
      </w:r>
      <w:hyperlink w:history="1" r:id="rId78ppbdnpd1cj6q6bjuf2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согласно </w:t>
      </w:r>
      <w:hyperlink w:history="1" r:id="rIdf4ltjanroaq5s3mmsbnw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доверенность лицу на осуществление действий от имени образовательной организации;</w:t>
      </w:r>
    </w:p>
    <w:p>
      <w:pPr>
        <w:spacing w:after="60"/>
        <w:ind w:firstLine="567"/>
        <w:jc w:val="both"/>
      </w:pPr>
      <w:r>
        <w:rPr>
          <w:rFonts w:ascii="Arial" w:cs="Arial" w:eastAsia="Arial" w:hAnsi="Arial"/>
          <w:sz w:val="24"/>
          <w:szCs w:val="24"/>
        </w:rPr>
        <w:t xml:space="preserve">5) опись представленных документов.</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официальных языках в бумажном и электронном виде. При электронной регистрации заявления оригиналы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7. Заявитель может обратиться к лицензиару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24"/>
          <w:szCs w:val="24"/>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лицензиара;</w:t>
      </w:r>
    </w:p>
    <w:p>
      <w:pPr>
        <w:spacing w:after="60"/>
        <w:ind w:firstLine="567"/>
        <w:jc w:val="both"/>
      </w:pPr>
      <w:r>
        <w:rPr>
          <w:rFonts w:ascii="Arial" w:cs="Arial" w:eastAsia="Arial" w:hAnsi="Arial"/>
          <w:sz w:val="24"/>
          <w:szCs w:val="24"/>
        </w:rPr>
        <w:t xml:space="preserve">2) полное и сокращенное (если имеется) наименования,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юридический адрес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 предельное количество обучающихся);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10. Лицензия оформляется на бумажном или электронном носителе по форме согласно </w:t>
      </w:r>
      <w:hyperlink w:history="1" r:id="rIdkitli7rionucj5hzb_hoa">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реестр лицензий в порядке, установленном </w:t>
      </w:r>
      <w:hyperlink w:history="1" r:id="rId3eknx40j7herbzab6f6kr">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4. Реестр лицензий</w:t>
      </w:r>
    </w:p>
    <w:p>
      <w:pPr>
        <w:spacing w:after="60"/>
        <w:ind w:firstLine="567"/>
        <w:jc w:val="both"/>
      </w:pPr>
      <w:r>
        <w:rPr>
          <w:rFonts w:ascii="Arial" w:cs="Arial" w:eastAsia="Arial" w:hAnsi="Arial"/>
          <w:sz w:val="24"/>
          <w:szCs w:val="24"/>
        </w:rPr>
        <w:t xml:space="preserve">12.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Лицензиар ведет реестр на бумажном носителе и в электронном формате по форме согласно </w:t>
      </w:r>
      <w:hyperlink w:history="1" r:id="rIduqnzsnuthfil7ipyr6p4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14. В реестре указываются следующие сведения:</w:t>
      </w:r>
    </w:p>
    <w:p>
      <w:pPr>
        <w:spacing w:after="60"/>
        <w:ind w:firstLine="567"/>
        <w:jc w:val="both"/>
      </w:pPr>
      <w:r>
        <w:rPr>
          <w:rFonts w:ascii="Arial" w:cs="Arial" w:eastAsia="Arial" w:hAnsi="Arial"/>
          <w:sz w:val="24"/>
          <w:szCs w:val="24"/>
        </w:rPr>
        <w:t xml:space="preserve">1) полное и сокращенное (если имеется) наименования юридического лица, юридический адрес, фактический адрес реализации программ;</w:t>
      </w:r>
    </w:p>
    <w:p>
      <w:pPr>
        <w:spacing w:after="60"/>
        <w:ind w:firstLine="567"/>
        <w:jc w:val="both"/>
      </w:pPr>
      <w:r>
        <w:rPr>
          <w:rFonts w:ascii="Arial" w:cs="Arial" w:eastAsia="Arial" w:hAnsi="Arial"/>
          <w:sz w:val="24"/>
          <w:szCs w:val="24"/>
        </w:rPr>
        <w:t xml:space="preserve">2) лицензируемый вид деятельности (образовательные программы,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 предельное количество обучающихся, срок действия лицензии);</w:t>
      </w:r>
    </w:p>
    <w:p>
      <w:pPr>
        <w:spacing w:after="60"/>
        <w:ind w:firstLine="567"/>
        <w:jc w:val="both"/>
      </w:pPr>
      <w:r>
        <w:rPr>
          <w:rFonts w:ascii="Arial" w:cs="Arial" w:eastAsia="Arial" w:hAnsi="Arial"/>
          <w:sz w:val="24"/>
          <w:szCs w:val="24"/>
        </w:rPr>
        <w:t xml:space="preserve">3) идентификационный номер налогоплательщика;</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основание и срок приостановления действия лицензии;</w:t>
      </w:r>
    </w:p>
    <w:p>
      <w:pPr>
        <w:spacing w:after="60"/>
        <w:ind w:firstLine="567"/>
        <w:jc w:val="both"/>
      </w:pPr>
      <w:r>
        <w:rPr>
          <w:rFonts w:ascii="Arial" w:cs="Arial" w:eastAsia="Arial" w:hAnsi="Arial"/>
          <w:sz w:val="24"/>
          <w:szCs w:val="24"/>
        </w:rPr>
        <w:t xml:space="preserve">6) основание и дата возобновления действия лицензии;</w:t>
      </w:r>
    </w:p>
    <w:p>
      <w:pPr>
        <w:spacing w:after="60"/>
        <w:ind w:firstLine="567"/>
        <w:jc w:val="both"/>
      </w:pPr>
      <w:r>
        <w:rPr>
          <w:rFonts w:ascii="Arial" w:cs="Arial" w:eastAsia="Arial" w:hAnsi="Arial"/>
          <w:sz w:val="24"/>
          <w:szCs w:val="24"/>
        </w:rPr>
        <w:t xml:space="preserve">7) основание и дата прекращения действия лицензии;</w:t>
      </w:r>
    </w:p>
    <w:p>
      <w:pPr>
        <w:spacing w:after="60"/>
        <w:ind w:firstLine="567"/>
        <w:jc w:val="both"/>
      </w:pPr>
      <w:r>
        <w:rPr>
          <w:rFonts w:ascii="Arial" w:cs="Arial" w:eastAsia="Arial" w:hAnsi="Arial"/>
          <w:sz w:val="24"/>
          <w:szCs w:val="24"/>
        </w:rPr>
        <w:t xml:space="preserve">8) данные о смене адреса реализации образовательных программ;</w:t>
      </w:r>
    </w:p>
    <w:p>
      <w:pPr>
        <w:spacing w:after="60"/>
        <w:ind w:firstLine="567"/>
        <w:jc w:val="both"/>
      </w:pPr>
      <w:r>
        <w:rPr>
          <w:rFonts w:ascii="Arial" w:cs="Arial" w:eastAsia="Arial" w:hAnsi="Arial"/>
          <w:sz w:val="24"/>
          <w:szCs w:val="24"/>
        </w:rPr>
        <w:t xml:space="preserve">9) основание и дата выдачи дубликата лицензии;</w:t>
      </w:r>
    </w:p>
    <w:p>
      <w:pPr>
        <w:spacing w:after="60"/>
        <w:ind w:firstLine="567"/>
        <w:jc w:val="both"/>
      </w:pPr>
      <w:r>
        <w:rPr>
          <w:rFonts w:ascii="Arial" w:cs="Arial" w:eastAsia="Arial" w:hAnsi="Arial"/>
          <w:sz w:val="24"/>
          <w:szCs w:val="24"/>
        </w:rPr>
        <w:t xml:space="preserve">10) основание и дата переоформления лицензии.</w:t>
      </w:r>
    </w:p>
    <w:p>
      <w:pPr>
        <w:spacing w:after="60"/>
        <w:ind w:firstLine="567"/>
        <w:jc w:val="both"/>
      </w:pPr>
      <w:r>
        <w:rPr>
          <w:rFonts w:ascii="Arial" w:cs="Arial" w:eastAsia="Arial" w:hAnsi="Arial"/>
          <w:sz w:val="24"/>
          <w:szCs w:val="24"/>
        </w:rPr>
        <w:t xml:space="preserve">15. Реестр подлежит обязательному размещению на официальном сайте лицензиара и является открытым и доступным для ознакомления заинтересованных лиц.</w:t>
      </w:r>
    </w:p>
    <w:p>
      <w:pPr>
        <w:spacing w:after="200" w:before="200"/>
        <w:jc w:val="center"/>
      </w:pPr>
      <w:r>
        <w:rPr>
          <w:rFonts w:ascii="Arial" w:cs="Arial" w:eastAsia="Arial" w:hAnsi="Arial"/>
          <w:b/>
          <w:bCs/>
          <w:sz w:val="24"/>
          <w:szCs w:val="24"/>
        </w:rPr>
        <w:t xml:space="preserve">Глава 5. Полномочия лицензиара</w:t>
      </w:r>
    </w:p>
    <w:p>
      <w:pPr>
        <w:spacing w:after="60"/>
        <w:ind w:firstLine="567"/>
        <w:jc w:val="both"/>
      </w:pPr>
      <w:r>
        <w:rPr>
          <w:rFonts w:ascii="Arial" w:cs="Arial" w:eastAsia="Arial" w:hAnsi="Arial"/>
          <w:sz w:val="24"/>
          <w:szCs w:val="24"/>
        </w:rPr>
        <w:t xml:space="preserve">16. Лицензиар осуществляет следующие полномочия:</w:t>
      </w:r>
    </w:p>
    <w:p>
      <w:pPr>
        <w:spacing w:after="60"/>
        <w:ind w:firstLine="567"/>
        <w:jc w:val="both"/>
      </w:pPr>
      <w:r>
        <w:rPr>
          <w:rFonts w:ascii="Arial" w:cs="Arial" w:eastAsia="Arial" w:hAnsi="Arial"/>
          <w:sz w:val="24"/>
          <w:szCs w:val="24"/>
        </w:rPr>
        <w:t xml:space="preserve">- выдачу лицензий;</w:t>
      </w:r>
    </w:p>
    <w:p>
      <w:pPr>
        <w:spacing w:after="60"/>
        <w:ind w:firstLine="567"/>
        <w:jc w:val="both"/>
      </w:pPr>
      <w:r>
        <w:rPr>
          <w:rFonts w:ascii="Arial" w:cs="Arial" w:eastAsia="Arial" w:hAnsi="Arial"/>
          <w:sz w:val="24"/>
          <w:szCs w:val="24"/>
        </w:rPr>
        <w:t xml:space="preserve">- выдачу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лицензионный контроль за соблюдением лицензиатами лицензионных требований;</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w:t>
      </w:r>
    </w:p>
    <w:p>
      <w:pPr>
        <w:spacing w:after="60"/>
        <w:ind w:firstLine="567"/>
        <w:jc w:val="both"/>
      </w:pPr>
      <w:r>
        <w:rPr>
          <w:rFonts w:ascii="Arial" w:cs="Arial" w:eastAsia="Arial" w:hAnsi="Arial"/>
          <w:sz w:val="24"/>
          <w:szCs w:val="24"/>
        </w:rPr>
        <w:t xml:space="preserve">- приостановление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 отказ в выдаче лицензии;</w:t>
      </w:r>
    </w:p>
    <w:p>
      <w:pPr>
        <w:spacing w:after="60"/>
        <w:ind w:firstLine="567"/>
        <w:jc w:val="both"/>
      </w:pPr>
      <w:r>
        <w:rPr>
          <w:rFonts w:ascii="Arial" w:cs="Arial" w:eastAsia="Arial" w:hAnsi="Arial"/>
          <w:sz w:val="24"/>
          <w:szCs w:val="24"/>
        </w:rPr>
        <w:t xml:space="preserve">- формирование и ведение реестра лицензий.</w:t>
      </w:r>
    </w:p>
    <w:p>
      <w:pPr>
        <w:spacing w:after="200" w:before="200"/>
        <w:jc w:val="center"/>
      </w:pPr>
      <w:r>
        <w:rPr>
          <w:rFonts w:ascii="Arial" w:cs="Arial" w:eastAsia="Arial" w:hAnsi="Arial"/>
          <w:b/>
          <w:bCs/>
          <w:sz w:val="24"/>
          <w:szCs w:val="24"/>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Лицензиар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Заявление с прилагаемыми документами регистрируется лицензиаром в течение 1 рабочего дня. Со дня регистрации заявления лицензиар проводит проверку представленных документов на предмет полноты.</w:t>
      </w:r>
    </w:p>
    <w:p>
      <w:pPr>
        <w:spacing w:after="60"/>
        <w:ind w:firstLine="567"/>
        <w:jc w:val="both"/>
      </w:pPr>
      <w:r>
        <w:rPr>
          <w:rFonts w:ascii="Arial" w:cs="Arial" w:eastAsia="Arial" w:hAnsi="Arial"/>
          <w:sz w:val="24"/>
          <w:szCs w:val="24"/>
        </w:rPr>
        <w:t xml:space="preserve">По итогам проверки документов лицензиар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предоставления документов, установленных </w:t>
      </w:r>
      <w:hyperlink w:history="1" r:id="rIdz6hpeu9vepspo58e8klps">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Положения, в не полном объеме;</w:t>
      </w:r>
    </w:p>
    <w:p>
      <w:pPr>
        <w:spacing w:after="60"/>
        <w:ind w:firstLine="567"/>
        <w:jc w:val="both"/>
      </w:pPr>
      <w:r>
        <w:rPr>
          <w:rFonts w:ascii="Arial" w:cs="Arial" w:eastAsia="Arial" w:hAnsi="Arial"/>
          <w:sz w:val="24"/>
          <w:szCs w:val="24"/>
        </w:rPr>
        <w:t xml:space="preserve">2) о принятии документов к рассмотрению в случае предоставления документов, установленных </w:t>
      </w:r>
      <w:hyperlink w:history="1" r:id="rIduhloo0kxtwjkdolym7gfh">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Положения, в полном объеме.</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лицензиар в письменном виде извещает его с обоснованием причин возврата:</w:t>
      </w:r>
    </w:p>
    <w:p>
      <w:pPr>
        <w:spacing w:after="60"/>
        <w:ind w:firstLine="567"/>
        <w:jc w:val="both"/>
      </w:pPr>
      <w:r>
        <w:rPr>
          <w:rFonts w:ascii="Arial" w:cs="Arial" w:eastAsia="Arial" w:hAnsi="Arial"/>
          <w:sz w:val="24"/>
          <w:szCs w:val="24"/>
        </w:rPr>
        <w:t xml:space="preserve">1) передачей извещения непосредственно заявителю;</w:t>
      </w:r>
    </w:p>
    <w:p>
      <w:pPr>
        <w:spacing w:after="60"/>
        <w:ind w:firstLine="567"/>
        <w:jc w:val="both"/>
      </w:pPr>
      <w:r>
        <w:rPr>
          <w:rFonts w:ascii="Arial" w:cs="Arial" w:eastAsia="Arial" w:hAnsi="Arial"/>
          <w:sz w:val="24"/>
          <w:szCs w:val="24"/>
        </w:rPr>
        <w:t xml:space="preserve">2) направлением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3) направлением извещения через информационно-коммуникационную сеть Интернет.</w:t>
      </w:r>
    </w:p>
    <w:p>
      <w:pPr>
        <w:spacing w:after="60"/>
        <w:ind w:firstLine="567"/>
        <w:jc w:val="both"/>
      </w:pPr>
      <w:r>
        <w:rPr>
          <w:rFonts w:ascii="Arial" w:cs="Arial" w:eastAsia="Arial" w:hAnsi="Arial"/>
          <w:sz w:val="24"/>
          <w:szCs w:val="24"/>
        </w:rPr>
        <w:t xml:space="preserve">19. В случае принятия документов к рассмотрению по существу, лицензиар издает приказ о создании экспертной комиссии с привлечением представителей образовательных организаций высшего, среднего и начального профессионального образования.</w:t>
      </w:r>
    </w:p>
    <w:p>
      <w:pPr>
        <w:spacing w:after="60"/>
        <w:ind w:firstLine="567"/>
        <w:jc w:val="both"/>
      </w:pPr>
      <w:r>
        <w:rPr>
          <w:rFonts w:ascii="Arial" w:cs="Arial" w:eastAsia="Arial" w:hAnsi="Arial"/>
          <w:sz w:val="24"/>
          <w:szCs w:val="24"/>
        </w:rPr>
        <w:t xml:space="preserve">В приказе лицензиара о проведении предлицензионной проверки, которым определяется состав экспертной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фамилия, имя, отчество и занимаемая должность экспертов (с определением председателя экспертной комиссии);</w:t>
      </w:r>
    </w:p>
    <w:p>
      <w:pPr>
        <w:spacing w:after="60"/>
        <w:ind w:firstLine="567"/>
        <w:jc w:val="both"/>
      </w:pPr>
      <w:r>
        <w:rPr>
          <w:rFonts w:ascii="Arial" w:cs="Arial" w:eastAsia="Arial" w:hAnsi="Arial"/>
          <w:sz w:val="24"/>
          <w:szCs w:val="24"/>
        </w:rPr>
        <w:t xml:space="preserve">- даты начала и окончания проведения предлицензионной проверки;</w:t>
      </w:r>
    </w:p>
    <w:p>
      <w:pPr>
        <w:spacing w:after="60"/>
        <w:ind w:firstLine="567"/>
        <w:jc w:val="both"/>
      </w:pPr>
      <w:r>
        <w:rPr>
          <w:rFonts w:ascii="Arial" w:cs="Arial" w:eastAsia="Arial" w:hAnsi="Arial"/>
          <w:sz w:val="24"/>
          <w:szCs w:val="24"/>
        </w:rPr>
        <w:t xml:space="preserve">- дата представления заключения лицензиару.</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20. Предлицензионная проверка проводится в срок, определенный приказом лицензиара.</w:t>
      </w:r>
    </w:p>
    <w:p>
      <w:pPr>
        <w:spacing w:after="60"/>
        <w:ind w:firstLine="567"/>
        <w:jc w:val="both"/>
      </w:pPr>
      <w:r>
        <w:rPr>
          <w:rFonts w:ascii="Arial" w:cs="Arial" w:eastAsia="Arial" w:hAnsi="Arial"/>
          <w:sz w:val="24"/>
          <w:szCs w:val="24"/>
        </w:rPr>
        <w:t xml:space="preserve">Итоги предлицензионной проверки оформляются в виде экспертного заключения с рекомендациями о выдаче или об отказе в выдаче лицензии с соответствующими обоснованиями соответствия лицензиата лицензионным требованиям, подписанного членами экспертной комиссии, на основании акта о предлицензионной проверке соответствия лицензионным требованиям согласно </w:t>
      </w:r>
      <w:hyperlink w:history="1" r:id="rId7kwkrlaekabm6tivg0idc">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Порядок проведения предлицензионной проверки определяется лицензиаром.</w:t>
      </w:r>
    </w:p>
    <w:p>
      <w:pPr>
        <w:spacing w:after="60"/>
        <w:ind w:firstLine="567"/>
        <w:jc w:val="both"/>
      </w:pPr>
      <w:r>
        <w:rPr>
          <w:rFonts w:ascii="Arial" w:cs="Arial" w:eastAsia="Arial" w:hAnsi="Arial"/>
          <w:sz w:val="24"/>
          <w:szCs w:val="24"/>
        </w:rPr>
        <w:t xml:space="preserve">В случае обнаружения несоответствия экспертного заключения фактическим обстоятельствам в образовательной деятельности заявителя, члены экспертной комиссии несут дисциплинарную ответственность, а также ответственность, предусмотренную Уголовным </w:t>
      </w:r>
      <w:hyperlink w:history="1" r:id="rIdxfxoqj6meg-rdjx_abys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aufedyrbhhnreykz9vam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21. Решения о выдаче или об отказе в выдаче лицензии принимаются Советом по лицензированию.</w:t>
      </w:r>
    </w:p>
    <w:p>
      <w:pPr>
        <w:spacing w:after="60"/>
        <w:ind w:firstLine="567"/>
        <w:jc w:val="both"/>
      </w:pPr>
      <w:r>
        <w:rPr>
          <w:rFonts w:ascii="Arial" w:cs="Arial" w:eastAsia="Arial" w:hAnsi="Arial"/>
          <w:sz w:val="24"/>
          <w:szCs w:val="24"/>
        </w:rPr>
        <w:t xml:space="preserve">Совет по лицензированию является коллегиальным органом, созданным в целях независимого и объективного принятия решения о выдаче или об отказе в выдаче лицензий, приостановлении и возобновлении, прекращении действия лицензий, об инициировании аннулирования лицензии и признании лицензии.</w:t>
      </w:r>
    </w:p>
    <w:p>
      <w:pPr>
        <w:spacing w:after="60"/>
        <w:ind w:firstLine="567"/>
        <w:jc w:val="both"/>
      </w:pPr>
      <w:r>
        <w:rPr>
          <w:rFonts w:ascii="Arial" w:cs="Arial" w:eastAsia="Arial" w:hAnsi="Arial"/>
          <w:sz w:val="24"/>
          <w:szCs w:val="24"/>
        </w:rPr>
        <w:t xml:space="preserve">Совет по лицензированию состоит из 5 человек, в число которых входят:</w:t>
      </w:r>
    </w:p>
    <w:p>
      <w:pPr>
        <w:spacing w:after="60"/>
        <w:ind w:firstLine="567"/>
        <w:jc w:val="both"/>
      </w:pPr>
      <w:r>
        <w:rPr>
          <w:rFonts w:ascii="Arial" w:cs="Arial" w:eastAsia="Arial" w:hAnsi="Arial"/>
          <w:sz w:val="24"/>
          <w:szCs w:val="24"/>
        </w:rPr>
        <w:t xml:space="preserve">- курирующий заместитель руководителя лицензиара - председатель Совета;</w:t>
      </w:r>
    </w:p>
    <w:p>
      <w:pPr>
        <w:spacing w:after="60"/>
        <w:ind w:firstLine="567"/>
        <w:jc w:val="both"/>
      </w:pPr>
      <w:r>
        <w:rPr>
          <w:rFonts w:ascii="Arial" w:cs="Arial" w:eastAsia="Arial" w:hAnsi="Arial"/>
          <w:sz w:val="24"/>
          <w:szCs w:val="24"/>
        </w:rPr>
        <w:t xml:space="preserve">- руководитель структурного подразделения лицензиара по вопросам лицензирования;</w:t>
      </w:r>
    </w:p>
    <w:p>
      <w:pPr>
        <w:spacing w:after="60"/>
        <w:ind w:firstLine="567"/>
        <w:jc w:val="both"/>
      </w:pPr>
      <w:r>
        <w:rPr>
          <w:rFonts w:ascii="Arial" w:cs="Arial" w:eastAsia="Arial" w:hAnsi="Arial"/>
          <w:sz w:val="24"/>
          <w:szCs w:val="24"/>
        </w:rPr>
        <w:t xml:space="preserve">- три представителя образовательных организаций высшего, среднего и начального профессионального образования.</w:t>
      </w:r>
    </w:p>
    <w:p>
      <w:pPr>
        <w:spacing w:after="60"/>
        <w:ind w:firstLine="567"/>
        <w:jc w:val="both"/>
      </w:pPr>
      <w:r>
        <w:rPr>
          <w:rFonts w:ascii="Arial" w:cs="Arial" w:eastAsia="Arial" w:hAnsi="Arial"/>
          <w:sz w:val="24"/>
          <w:szCs w:val="24"/>
        </w:rPr>
        <w:t xml:space="preserve">Решение Совета по лицензированию реализуется приказом лицензиара.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лицензиаром.</w:t>
      </w:r>
    </w:p>
    <w:p>
      <w:pPr>
        <w:spacing w:after="60"/>
        <w:ind w:firstLine="567"/>
        <w:jc w:val="both"/>
      </w:pPr>
      <w:r>
        <w:rPr>
          <w:rFonts w:ascii="Arial" w:cs="Arial" w:eastAsia="Arial" w:hAnsi="Arial"/>
          <w:sz w:val="24"/>
          <w:szCs w:val="24"/>
        </w:rPr>
        <w:t xml:space="preserve">22. Лицензиар обязан в сроки, установленные для выдачи лицензии, в письменной форме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23. Лицензия считается официально выданной с даты внесения сведений об этом в реестр. Лицензиар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24. В случае, если лицензиар в сроки, установленные для выдачи лицензии, письменно не уведомил заявителя об отказе в предоставлении лицензии, то лицензия считается выданной. Лицензиар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25.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26. Переоформление лицензии осуществляется в случаях, установленных </w:t>
      </w:r>
      <w:hyperlink w:history="1" r:id="rIdnqdwdkwbrmk0xujluqhy_">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27. При возникновении оснований для переоформления лицензии лицензиат обязан обратиться к лицензиару с заявлением о переоформлении лицензии по форме согласно </w:t>
      </w:r>
      <w:hyperlink w:history="1" r:id="rId-gsfv87ahaidmcnujt2yp">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28. Переоформление лицензии осуществляется в течение 5 рабочих дней со дня получения лицензиаром соответствующего заявления. При переоформлении лицензии лицензиар вносит соответствующие изменения в реестр, при этом ранее выданная лицензия аннулируется лицензиаром. Вновь выданной лицензии присваивается новый регистрационный номер реестра лицензий и указывается дата выдачи.</w:t>
      </w:r>
    </w:p>
    <w:p>
      <w:pPr>
        <w:spacing w:after="60"/>
        <w:ind w:firstLine="567"/>
        <w:jc w:val="both"/>
      </w:pPr>
      <w:r>
        <w:rPr>
          <w:rFonts w:ascii="Arial" w:cs="Arial" w:eastAsia="Arial" w:hAnsi="Arial"/>
          <w:sz w:val="24"/>
          <w:szCs w:val="24"/>
        </w:rPr>
        <w:t xml:space="preserve">Для переоформления лицензии внеплановые проверки не проводятся.</w:t>
      </w:r>
    </w:p>
    <w:p>
      <w:pPr>
        <w:spacing w:after="60"/>
        <w:ind w:firstLine="567"/>
        <w:jc w:val="both"/>
      </w:pPr>
      <w:r>
        <w:rPr>
          <w:rFonts w:ascii="Arial" w:cs="Arial" w:eastAsia="Arial" w:hAnsi="Arial"/>
          <w:sz w:val="24"/>
          <w:szCs w:val="24"/>
        </w:rPr>
        <w:t xml:space="preserve">29. При утере, порче бланка лицензии лицензиат имеет право на получение дубликата лицензии на основании письменного заявления по форме согласно </w:t>
      </w:r>
      <w:hyperlink w:history="1" r:id="rIdcmkx9wki4cihfcmzmn2ss">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Положению. К заявлению, в случае порчи бланка лицензии, прилагается испорченный бланк лицензии.</w:t>
      </w:r>
    </w:p>
    <w:p>
      <w:pPr>
        <w:spacing w:after="60"/>
        <w:ind w:firstLine="567"/>
        <w:jc w:val="both"/>
      </w:pPr>
      <w:r>
        <w:rPr>
          <w:rFonts w:ascii="Arial" w:cs="Arial" w:eastAsia="Arial" w:hAnsi="Arial"/>
          <w:sz w:val="24"/>
          <w:szCs w:val="24"/>
        </w:rPr>
        <w:t xml:space="preserve">Утерянные, испорченные бланки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Лицензиар в течение 3 рабочих дней со дня подачи заявления выносит решение о выдаче дубликата лицензии с надписью "Дубликат" в правом верхнем углу. Порядок выдачи дубликата лицензии определяется лицензиаром.</w:t>
      </w:r>
    </w:p>
    <w:p>
      <w:pPr>
        <w:spacing w:after="60"/>
        <w:ind w:firstLine="567"/>
        <w:jc w:val="both"/>
      </w:pPr>
      <w:r>
        <w:rPr>
          <w:rFonts w:ascii="Arial" w:cs="Arial" w:eastAsia="Arial" w:hAnsi="Arial"/>
          <w:sz w:val="24"/>
          <w:szCs w:val="24"/>
        </w:rPr>
        <w:t xml:space="preserve">Лицензиат вправе обжаловать решение лицензиара об отказе в выдаче дубликата лицензии в порядке, установленном </w:t>
      </w:r>
      <w:hyperlink w:history="1" r:id="rIdc-s5nbb-xmcdxtjvflrai">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30. При выдаче, переоформлении лицензии и выдаче дубликата лицензии взимается разовая государственная пошлина за выдачу лицензий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Все виды государственной пошлины за выдачу лицензий направляются непосредственно в республиканский бюджет.</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31. Отказ в выдаче лицензии осуществляется в соответствии со </w:t>
      </w:r>
      <w:hyperlink w:history="1" r:id="rIdzcwald5jgekhwrhf8biig">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8. Лицензионный контроль</w:t>
      </w:r>
    </w:p>
    <w:p>
      <w:pPr>
        <w:spacing w:after="60"/>
        <w:ind w:firstLine="567"/>
        <w:jc w:val="both"/>
      </w:pPr>
      <w:r>
        <w:rPr>
          <w:rFonts w:ascii="Arial" w:cs="Arial" w:eastAsia="Arial" w:hAnsi="Arial"/>
          <w:sz w:val="24"/>
          <w:szCs w:val="24"/>
        </w:rPr>
        <w:t xml:space="preserve">32. Лицензионный контроль проводится в соответствии со </w:t>
      </w:r>
      <w:hyperlink w:history="1" r:id="rIdi38jc7glpwjs-2eqk3wr-">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с заполнением соответствующего акта о выявленных нарушениях лицензионных требований или о результатах устранения их в ходе предыдущих проверок согласно </w:t>
      </w:r>
      <w:hyperlink w:history="1" r:id="rId_nh4untwo9piwci2quxop">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33. Действие лицензии приостанавливается лицензиаром в случае трехкратного нарушения лицензионных требований лицензиатом в течение одного года, ранее получившим предупреждение и штраф, на срок до девяноста календарных дней, с прекращением образовательной деятельности.</w:t>
      </w:r>
    </w:p>
    <w:p>
      <w:pPr>
        <w:spacing w:after="60"/>
        <w:ind w:firstLine="567"/>
        <w:jc w:val="both"/>
      </w:pPr>
      <w:r>
        <w:rPr>
          <w:rFonts w:ascii="Arial" w:cs="Arial" w:eastAsia="Arial" w:hAnsi="Arial"/>
          <w:sz w:val="24"/>
          <w:szCs w:val="24"/>
        </w:rPr>
        <w:t xml:space="preserve">При этом обучающиеся переводятся в другие учебные заведения на основании заявления обучающихся.</w:t>
      </w:r>
    </w:p>
    <w:p>
      <w:pPr>
        <w:spacing w:after="60"/>
        <w:ind w:firstLine="567"/>
        <w:jc w:val="both"/>
      </w:pPr>
      <w:r>
        <w:rPr>
          <w:rFonts w:ascii="Arial" w:cs="Arial" w:eastAsia="Arial" w:hAnsi="Arial"/>
          <w:sz w:val="24"/>
          <w:szCs w:val="24"/>
        </w:rPr>
        <w:t xml:space="preserve">Лицензиар обязан уведомить в письменной форме лицензиата о приостановлении действия лицензии с указанием причин приостановления.</w:t>
      </w:r>
    </w:p>
    <w:p>
      <w:pPr>
        <w:spacing w:after="60"/>
        <w:ind w:firstLine="567"/>
        <w:jc w:val="both"/>
      </w:pPr>
      <w:r>
        <w:rPr>
          <w:rFonts w:ascii="Arial" w:cs="Arial" w:eastAsia="Arial" w:hAnsi="Arial"/>
          <w:sz w:val="24"/>
          <w:szCs w:val="24"/>
        </w:rPr>
        <w:t xml:space="preserve">34.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35. Сведения о прекращении действия лицензии вносятся в реестр в течение 5 рабочих дней со дня принятия решения Совета по лицензированию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36.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60"/>
        <w:ind w:firstLine="567"/>
        <w:jc w:val="both"/>
      </w:pPr>
      <w:r>
        <w:rPr>
          <w:rFonts w:ascii="Arial" w:cs="Arial" w:eastAsia="Arial" w:hAnsi="Arial"/>
          <w:sz w:val="24"/>
          <w:szCs w:val="24"/>
        </w:rPr>
        <w:t xml:space="preserve">37. В случае неустранения причин, по которым лицензиар приостановил действие лицензии, лицензия аннулируется решением суда на основании рассмотрения заявления лицензиара.</w:t>
      </w:r>
    </w:p>
    <w:p>
      <w:pPr>
        <w:spacing w:after="200" w:before="200"/>
        <w:jc w:val="center"/>
      </w:pPr>
      <w:r>
        <w:rPr>
          <w:rFonts w:ascii="Arial" w:cs="Arial" w:eastAsia="Arial" w:hAnsi="Arial"/>
          <w:b/>
          <w:bCs/>
          <w:sz w:val="24"/>
          <w:szCs w:val="24"/>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38.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заявителем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требований лицензиатом.</w:t>
      </w:r>
    </w:p>
    <w:p>
      <w:pPr>
        <w:spacing w:after="60"/>
        <w:ind w:firstLine="567"/>
        <w:jc w:val="both"/>
      </w:pPr>
      <w:r>
        <w:rPr>
          <w:rFonts w:ascii="Arial" w:cs="Arial" w:eastAsia="Arial" w:hAnsi="Arial"/>
          <w:sz w:val="24"/>
          <w:szCs w:val="24"/>
        </w:rPr>
        <w:t xml:space="preserve">39. Лицензиар проводит лицензионную проверку устранения выявленных нарушений в тридцатидневный срок.</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Не позднее 5 рабочих дней со дня получения уведомления лицензиата о досрочном устранении нарушений лицензиар проводит лицензионную проверку устранения выявленных нарушений.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В случае, если по результатам лицензионной проверки лицензиат не устранил нарушение лицензионных требований, послужившее основанием для отказа в возобновлении действия лицензии, лицензия аннулируются в порядке, предусмотренном пунктом 37 настоящего Положения.</w:t>
      </w:r>
    </w:p>
    <w:p>
      <w:pPr>
        <w:spacing w:after="60"/>
        <w:ind w:firstLine="567"/>
        <w:jc w:val="both"/>
      </w:pPr>
      <w:r>
        <w:rPr>
          <w:rFonts w:ascii="Arial" w:cs="Arial" w:eastAsia="Arial" w:hAnsi="Arial"/>
          <w:sz w:val="24"/>
          <w:szCs w:val="24"/>
        </w:rPr>
        <w:t xml:space="preserve">40.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41. Лицензиат имеет право обжаловать решение лицензиара об отказе в возобновлении действия лицензии в порядке, установленном </w:t>
      </w:r>
      <w:hyperlink w:history="1" r:id="rIdx447esiv3zbngi6aadvug">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11. Лицензионные требования</w:t>
      </w:r>
    </w:p>
    <w:p>
      <w:pPr>
        <w:spacing w:after="60"/>
        <w:ind w:firstLine="567"/>
        <w:jc w:val="both"/>
      </w:pPr>
      <w:r>
        <w:rPr>
          <w:rFonts w:ascii="Arial" w:cs="Arial" w:eastAsia="Arial" w:hAnsi="Arial"/>
          <w:sz w:val="24"/>
          <w:szCs w:val="24"/>
        </w:rPr>
        <w:t xml:space="preserve">42.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названию, целям и основным видам деятельности заявителя;</w:t>
      </w:r>
    </w:p>
    <w:p>
      <w:pPr>
        <w:spacing w:after="60"/>
        <w:ind w:firstLine="567"/>
        <w:jc w:val="both"/>
      </w:pPr>
      <w:r>
        <w:rPr>
          <w:rFonts w:ascii="Arial" w:cs="Arial" w:eastAsia="Arial" w:hAnsi="Arial"/>
          <w:sz w:val="24"/>
          <w:szCs w:val="24"/>
        </w:rPr>
        <w:t xml:space="preserve">2) соответствие материально-технической и учебно-методической базы,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3) наличие у юридического лица на праве собственности, оперативного управления, хозяйственного ведения или аренды, на срок не менее 3 лет, оснащенных зданий, помещений и территорий (оборудованные учебные кабинеты, объекты для практических занятий, полигоны, автодромы), необходимых для осуществления образовательной деятельности по заявленным программам, соответствующих санитарным нормам и правилам, требованиям пожарной безопасности.</w:t>
      </w:r>
    </w:p>
    <w:p>
      <w:pPr>
        <w:spacing w:after="60"/>
        <w:ind w:firstLine="567"/>
        <w:jc w:val="both"/>
      </w:pPr>
      <w:r>
        <w:rPr>
          <w:rFonts w:ascii="Arial" w:cs="Arial" w:eastAsia="Arial" w:hAnsi="Arial"/>
          <w:sz w:val="24"/>
          <w:szCs w:val="24"/>
        </w:rPr>
        <w:t xml:space="preserve">Не допускается реализация образовательной деятельности в дополнительных помещениях;</w:t>
      </w:r>
    </w:p>
    <w:p>
      <w:pPr>
        <w:spacing w:after="60"/>
        <w:ind w:firstLine="567"/>
        <w:jc w:val="both"/>
      </w:pPr>
      <w:r>
        <w:rPr>
          <w:rFonts w:ascii="Arial" w:cs="Arial" w:eastAsia="Arial" w:hAnsi="Arial"/>
          <w:sz w:val="24"/>
          <w:szCs w:val="24"/>
        </w:rPr>
        <w:t xml:space="preserve">4) наличие у юридического лица учебно-методической документации, учебной, учебно-методической литературы и иных библиотечно-информационных ресурсов, а также средств для обеспечения образовательного процесса по заявленным образовательным программам;</w:t>
      </w:r>
    </w:p>
    <w:p>
      <w:pPr>
        <w:spacing w:after="60"/>
        <w:ind w:firstLine="567"/>
        <w:jc w:val="both"/>
      </w:pPr>
      <w:r>
        <w:rPr>
          <w:rFonts w:ascii="Arial" w:cs="Arial" w:eastAsia="Arial" w:hAnsi="Arial"/>
          <w:sz w:val="24"/>
          <w:szCs w:val="24"/>
        </w:rPr>
        <w:t xml:space="preserve">5) наличие в штате или привлечение заявителем на ином законном основании педагогических работников, численность и квалификации которых обеспечивают осуществление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6) наличие разработанных и утвержденных учебных планов образовательных программ;</w:t>
      </w:r>
    </w:p>
    <w:p>
      <w:pPr>
        <w:spacing w:after="60"/>
        <w:ind w:firstLine="567"/>
        <w:jc w:val="both"/>
      </w:pPr>
      <w:r>
        <w:rPr>
          <w:rFonts w:ascii="Arial" w:cs="Arial" w:eastAsia="Arial" w:hAnsi="Arial"/>
          <w:sz w:val="24"/>
          <w:szCs w:val="24"/>
        </w:rPr>
        <w:t xml:space="preserve">7) наличие специальных условий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8) обеспечение результатов квалификационных экзаменов на право управления транспортными средствами не ниже 50% при подготовке водителей транспортных средств;</w:t>
      </w:r>
    </w:p>
    <w:p>
      <w:pPr>
        <w:spacing w:after="60"/>
        <w:ind w:firstLine="567"/>
        <w:jc w:val="both"/>
      </w:pPr>
      <w:r>
        <w:rPr>
          <w:rFonts w:ascii="Arial" w:cs="Arial" w:eastAsia="Arial" w:hAnsi="Arial"/>
          <w:sz w:val="24"/>
          <w:szCs w:val="24"/>
        </w:rPr>
        <w:t xml:space="preserve">9) соответствие помещений образовательной деятельности с фактическим адресом (местонахождением), указанным в лицензии.</w:t>
      </w:r>
    </w:p>
    <w:p>
      <w:pPr>
        <w:spacing w:after="60"/>
        <w:ind w:firstLine="567"/>
        <w:jc w:val="both"/>
      </w:pPr>
      <w:r>
        <w:rPr>
          <w:rFonts w:ascii="Arial" w:cs="Arial" w:eastAsia="Arial" w:hAnsi="Arial"/>
          <w:sz w:val="24"/>
          <w:szCs w:val="24"/>
        </w:rPr>
        <w:t xml:space="preserve">43.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 по подготовке водителей транспортных средств согласно </w:t>
      </w:r>
      <w:hyperlink w:history="1" r:id="rIdq-lbz5ea_uoioywxz5o9c">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44.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hyperlink w:history="1" r:id="rIddqqk0hixeym1z2hteisw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государственная пошлина за выдачу лицензий в соответствии с </w:t>
      </w:r>
      <w:hyperlink w:history="1" r:id="rIdfyxi74vkdkchtjj2g8ky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200" w:before="200"/>
        <w:jc w:val="center"/>
      </w:pPr>
      <w:r>
        <w:rPr>
          <w:rFonts w:ascii="Arial" w:cs="Arial" w:eastAsia="Arial" w:hAnsi="Arial"/>
          <w:b/>
          <w:bCs/>
          <w:sz w:val="24"/>
          <w:szCs w:val="24"/>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45. В случае невыполнения лицензиатом лицензионных требований лицензиар применяет к лицензиату меры воздействия в соответствии с </w:t>
      </w:r>
      <w:hyperlink w:history="1" r:id="rIdpvf34a3agqxk40qbbcvd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46. Заявитель, лицензиат вправе обжаловать действие, бездействие лицензиара, должностных лиц лицензиара в порядке, установленном </w:t>
      </w:r>
      <w:hyperlink w:history="1" r:id="rId3bkvjnamdf8o1bon_ouvq">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лицензию на осуществление образовательной деятельности 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(указывается 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помещения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______________________________</w:t>
      </w:r>
    </w:p>
    <w:p>
      <w:pPr>
        <w:spacing w:after="60"/>
        <w:ind w:firstLine="567"/>
        <w:jc w:val="both"/>
      </w:pPr>
      <w:r>
        <w:rPr>
          <w:rFonts w:ascii="Arial" w:cs="Arial" w:eastAsia="Arial" w:hAnsi="Arial"/>
          <w:sz w:val="24"/>
          <w:szCs w:val="24"/>
        </w:rPr>
        <w:t xml:space="preserve">Образовательные программы для лицензирования: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(указать категории подготовки водителей автомототранспортных средств)</w:t>
      </w:r>
    </w:p>
    <w:p>
      <w:pPr>
        <w:spacing w:after="60"/>
        <w:ind w:firstLine="567"/>
        <w:jc w:val="both"/>
      </w:pPr>
      <w:r>
        <w:rPr>
          <w:rFonts w:ascii="Arial" w:cs="Arial" w:eastAsia="Arial" w:hAnsi="Arial"/>
          <w:sz w:val="24"/>
          <w:szCs w:val="24"/>
        </w:rPr>
        <w:t xml:space="preserve">Реквизиты документа, подтверждающего уплату государственной пошлины за выдачу</w:t>
      </w:r>
    </w:p>
    <w:p>
      <w:pPr>
        <w:spacing w:after="60"/>
        <w:ind w:firstLine="567"/>
        <w:jc w:val="both"/>
      </w:pPr>
      <w:r>
        <w:rPr>
          <w:rFonts w:ascii="Arial" w:cs="Arial" w:eastAsia="Arial" w:hAnsi="Arial"/>
          <w:sz w:val="24"/>
          <w:szCs w:val="24"/>
        </w:rPr>
        <w:t xml:space="preserve">лицензий: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Номер телефона (факса) заявителя: _______________________________________________</w:t>
      </w:r>
    </w:p>
    <w:p>
      <w:pPr>
        <w:spacing w:after="60"/>
        <w:ind w:firstLine="567"/>
        <w:jc w:val="both"/>
      </w:pPr>
      <w:r>
        <w:rPr>
          <w:rFonts w:ascii="Arial" w:cs="Arial" w:eastAsia="Arial" w:hAnsi="Arial"/>
          <w:sz w:val="24"/>
          <w:szCs w:val="24"/>
        </w:rPr>
        <w:t xml:space="preserve">Адрес электронной почты заявителя: _______________________________________________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 электронной</w:t>
      </w:r>
    </w:p>
    <w:p>
      <w:pPr>
        <w:spacing w:after="60"/>
        <w:ind w:firstLine="567"/>
        <w:jc w:val="both"/>
      </w:pPr>
      <w:r>
        <w:rPr>
          <w:rFonts w:ascii="Arial" w:cs="Arial" w:eastAsia="Arial" w:hAnsi="Arial"/>
          <w:sz w:val="24"/>
          <w:szCs w:val="24"/>
        </w:rPr>
        <w:t xml:space="preserve">форме: _______________________________________________________________________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1537"/>
        <w:gridCol w:w="1537"/>
        <w:gridCol w:w="2070"/>
        <w:gridCol w:w="1834"/>
        <w:gridCol w:w="1386"/>
        <w:gridCol w:w="1473"/>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расположение (адрес) здания, строения, помещения, занятых для образовательной деятельности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занимаемая образовательной организацией (кв.м)</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 помещениями (на правах собственности, оперативного управления, хозяйственное ведение, аренда и т.п.), реквизиты правоустанавливающих документов на помещения</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(ФИО) собственника (арендодателя) недвижимого имущества</w:t>
            </w:r>
          </w:p>
        </w:tc>
        <w:tc>
          <w:tcPr>
            <w:tcW w:type="dxa" w:w="1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помещений (оборудованные учебные кабинеты, объекты для практических занятий и др.)</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здания, строения, помещения, занятые для образовательной деятельности должны соответствовать санитарным нормам и правилам, требованиям пожарной безопасности.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6396"/>
        <w:gridCol w:w="3367"/>
      </w:tblGrid>
      <w:tr>
        <w:tc>
          <w:tcPr>
            <w:tcW w:type="dxa" w:w="4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3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 кадровом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651"/>
        <w:gridCol w:w="1755"/>
        <w:gridCol w:w="2148"/>
        <w:gridCol w:w="1093"/>
        <w:gridCol w:w="1222"/>
        <w:gridCol w:w="1222"/>
        <w:gridCol w:w="1671"/>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курсам обучения</w:t>
            </w:r>
          </w:p>
        </w:tc>
        <w:tc>
          <w:tcPr>
            <w:tcW w:type="dxa" w:w="2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 специальность и квалификация, реквизиты документа об образовании)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24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по специальности</w:t>
            </w:r>
          </w:p>
        </w:tc>
        <w:tc>
          <w:tcPr>
            <w:tcW w:type="dxa" w:w="16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1"/>
        <w:gridCol w:w="1637"/>
        <w:gridCol w:w="1602"/>
        <w:gridCol w:w="1356"/>
        <w:gridCol w:w="1356"/>
        <w:gridCol w:w="1378"/>
        <w:gridCol w:w="1508"/>
      </w:tblGrid>
      <w:tr>
        <w:tc>
          <w:tcPr>
            <w:tcW w:type="dxa" w:w="13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курсам обучения</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студентов</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ИЧКИ ИШТЕР МИНИСТРЛИГИНИН
 ЖОЛ КЫЙМЫЛЫНЫН КООПСУЗДУГУН
 КАМСЫЗДОО БАШКЫ БАШКАРМАЛЫГЫ
 ЛИЦЕНЗИЯ</w:t>
      </w:r>
      <w:r>
        <w:rPr>
          <w:rFonts w:ascii="Arial" w:cs="Arial" w:eastAsia="Arial" w:hAnsi="Arial"/>
          <w:sz w:val="24"/>
          <w:szCs w:val="24"/>
        </w:rPr>
        <w:t xml:space="preserve">	</w:t>
      </w:r>
      <w:r>
        <w:rPr>
          <w:rFonts w:ascii="Arial" w:cs="Arial" w:eastAsia="Arial" w:hAnsi="Arial"/>
          <w:b/>
          <w:bCs/>
          <w:sz w:val="24"/>
          <w:szCs w:val="24"/>
        </w:rPr>
        <w:t xml:space="preserve">ГЛАВНОЕ УПРАВЛЕНИЕ ПО ОБЕСПЕЧЕНИЮ
 БЕЗОПАСНОСТИ ДОРОЖНОГО ДВИЖЕНИЯ
 МИНИСТЕРСТВА ВНУТРЕННИХ ДЕЛ
 КЫРГЫЗСКОЙ РЕСПУБЛИКИ
 ЛИЦЕНЗИЯ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Каттоо № 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 ______________</w:t>
      </w:r>
    </w:p>
    <w:p>
      <w:pPr>
        <w:tabs>
          <w:tab w:val="right" w:pos="10178"/>
        </w:tabs>
        <w:spacing w:after="120"/>
      </w:pPr>
      <w:r>
        <w:rPr>
          <w:rFonts w:ascii="Arial" w:cs="Arial" w:eastAsia="Arial" w:hAnsi="Arial"/>
          <w:sz w:val="24"/>
          <w:szCs w:val="24"/>
        </w:rPr>
        <w:t xml:space="preserve">20__-ж. "___" __________________________</w:t>
      </w:r>
      <w:r>
        <w:rPr>
          <w:rFonts w:ascii="Arial" w:cs="Arial" w:eastAsia="Arial" w:hAnsi="Arial"/>
          <w:sz w:val="24"/>
          <w:szCs w:val="24"/>
        </w:rPr>
        <w:t xml:space="preserve">	</w:t>
      </w:r>
      <w:r>
        <w:rPr>
          <w:rFonts w:ascii="Arial" w:cs="Arial" w:eastAsia="Arial" w:hAnsi="Arial"/>
          <w:sz w:val="24"/>
          <w:szCs w:val="24"/>
        </w:rPr>
        <w:t xml:space="preserve">от "___" ____________________________ 20__ г.</w:t>
      </w:r>
    </w:p>
    <w:p>
      <w:pPr>
        <w:tabs>
          <w:tab w:val="right" w:pos="10178"/>
        </w:tabs>
        <w:spacing w:after="120"/>
      </w:pPr>
      <w:r>
        <w:rPr>
          <w:rFonts w:ascii="Arial" w:cs="Arial" w:eastAsia="Arial" w:hAnsi="Arial"/>
          <w:sz w:val="24"/>
          <w:szCs w:val="24"/>
        </w:rPr>
        <w:t xml:space="preserve">Юридикалык жактын аталышы:</w:t>
      </w:r>
      <w:r>
        <w:rPr>
          <w:rFonts w:ascii="Arial" w:cs="Arial" w:eastAsia="Arial" w:hAnsi="Arial"/>
          <w:sz w:val="24"/>
          <w:szCs w:val="24"/>
        </w:rPr>
        <w:t xml:space="preserve">	</w:t>
      </w:r>
      <w:r>
        <w:rPr>
          <w:rFonts w:ascii="Arial" w:cs="Arial" w:eastAsia="Arial" w:hAnsi="Arial"/>
          <w:sz w:val="24"/>
          <w:szCs w:val="24"/>
        </w:rPr>
        <w:t xml:space="preserve">Наименование юридического лица: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Уюштуруу-укуктук формасы:</w:t>
      </w:r>
      <w:r>
        <w:rPr>
          <w:rFonts w:ascii="Arial" w:cs="Arial" w:eastAsia="Arial" w:hAnsi="Arial"/>
          <w:sz w:val="24"/>
          <w:szCs w:val="24"/>
        </w:rPr>
        <w:t xml:space="preserve">	</w:t>
      </w:r>
      <w:r>
        <w:rPr>
          <w:rFonts w:ascii="Arial" w:cs="Arial" w:eastAsia="Arial" w:hAnsi="Arial"/>
          <w:sz w:val="24"/>
          <w:szCs w:val="24"/>
        </w:rPr>
        <w:t xml:space="preserve">Организационно-правовая форма: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Юридикалык дареги:</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Жайгашкан жери:</w:t>
      </w:r>
      <w:r>
        <w:rPr>
          <w:rFonts w:ascii="Arial" w:cs="Arial" w:eastAsia="Arial" w:hAnsi="Arial"/>
          <w:sz w:val="24"/>
          <w:szCs w:val="24"/>
        </w:rPr>
        <w:t xml:space="preserve">	</w:t>
      </w:r>
      <w:r>
        <w:rPr>
          <w:rFonts w:ascii="Arial" w:cs="Arial" w:eastAsia="Arial" w:hAnsi="Arial"/>
          <w:sz w:val="24"/>
          <w:szCs w:val="24"/>
        </w:rPr>
        <w:t xml:space="preserve">Местонахождение:</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Юридикалык жакты мамлекеттик каттоо (кайра каттоо)</w:t>
      </w:r>
      <w:r>
        <w:rPr>
          <w:rFonts w:ascii="Arial" w:cs="Arial" w:eastAsia="Arial" w:hAnsi="Arial"/>
          <w:sz w:val="24"/>
          <w:szCs w:val="24"/>
        </w:rPr>
        <w:t xml:space="preserve">	</w:t>
      </w:r>
      <w:r>
        <w:rPr>
          <w:rFonts w:ascii="Arial" w:cs="Arial" w:eastAsia="Arial" w:hAnsi="Arial"/>
          <w:sz w:val="24"/>
          <w:szCs w:val="24"/>
        </w:rPr>
        <w:t xml:space="preserve">Номер свидетельства о государственной регистрации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Салык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и</w:t>
      </w:r>
      <w:r>
        <w:rPr>
          <w:rFonts w:ascii="Arial" w:cs="Arial" w:eastAsia="Arial" w:hAnsi="Arial"/>
          <w:sz w:val="24"/>
          <w:szCs w:val="24"/>
        </w:rPr>
        <w:t xml:space="preserve">дентиф</w:t>
      </w:r>
      <w:r>
        <w:rPr>
          <w:rFonts w:ascii="Arial" w:cs="Arial" w:eastAsia="Arial" w:hAnsi="Arial"/>
          <w:sz w:val="24"/>
          <w:szCs w:val="24"/>
        </w:rPr>
        <w:t xml:space="preserve">и</w:t>
      </w:r>
      <w:r>
        <w:rPr>
          <w:rFonts w:ascii="Arial" w:cs="Arial" w:eastAsia="Arial" w:hAnsi="Arial"/>
          <w:sz w:val="24"/>
          <w:szCs w:val="24"/>
        </w:rPr>
        <w:t xml:space="preserve">кац</w:t>
      </w:r>
      <w:r>
        <w:rPr>
          <w:rFonts w:ascii="Arial" w:cs="Arial" w:eastAsia="Arial" w:hAnsi="Arial"/>
          <w:sz w:val="24"/>
          <w:szCs w:val="24"/>
        </w:rPr>
        <w:t xml:space="preserve">и</w:t>
      </w:r>
      <w:r>
        <w:rPr>
          <w:rFonts w:ascii="Arial" w:cs="Arial" w:eastAsia="Arial" w:hAnsi="Arial"/>
          <w:sz w:val="24"/>
          <w:szCs w:val="24"/>
        </w:rPr>
        <w:t xml:space="preserve">ялык номери</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Иштин лицензиялануучу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Лицензируемый вид деятельности: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Лицензияны колдонулуу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Срок действия лицензии: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Негизи: _____________</w:t>
      </w: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Основание: _________________________________________</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w:t>
      </w:r>
      <w:r>
        <w:rPr>
          <w:rFonts w:ascii="Arial" w:cs="Arial" w:eastAsia="Arial" w:hAnsi="Arial"/>
          <w:sz w:val="24"/>
          <w:szCs w:val="24"/>
        </w:rPr>
        <w:t xml:space="preserve"> ____</w:t>
      </w: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Начальник</w:t>
      </w:r>
      <w:r>
        <w:rPr>
          <w:rFonts w:ascii="Arial" w:cs="Arial" w:eastAsia="Arial" w:hAnsi="Arial"/>
          <w:sz w:val="24"/>
          <w:szCs w:val="24"/>
        </w:rPr>
        <w:t xml:space="preserve"> ____</w:t>
      </w:r>
      <w:r>
        <w:rPr>
          <w:rFonts w:ascii="Arial" w:cs="Arial" w:eastAsia="Arial" w:hAnsi="Arial"/>
          <w:sz w:val="24"/>
          <w:szCs w:val="24"/>
        </w:rPr>
        <w:t xml:space="preserve">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b/>
          <w:bCs/>
          <w:sz w:val="24"/>
          <w:szCs w:val="24"/>
        </w:rPr>
        <w:t xml:space="preserve">М.О.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QR-коду</w:t>
      </w:r>
      <w:r>
        <w:rPr>
          <w:rFonts w:ascii="Arial" w:cs="Arial" w:eastAsia="Arial" w:hAnsi="Arial"/>
          <w:sz w:val="24"/>
          <w:szCs w:val="24"/>
        </w:rPr>
        <w:t xml:space="preserve">	</w:t>
      </w:r>
      <w:r>
        <w:rPr>
          <w:rFonts w:ascii="Arial" w:cs="Arial" w:eastAsia="Arial" w:hAnsi="Arial"/>
          <w:sz w:val="24"/>
          <w:szCs w:val="24"/>
        </w:rPr>
        <w:t xml:space="preserve">                             QR-код</w:t>
      </w:r>
    </w:p>
    <w:p>
      <w:pPr>
        <w:tabs>
          <w:tab w:val="right" w:pos="10178"/>
        </w:tabs>
        <w:spacing w:after="120"/>
      </w:pPr>
      <w:r>
        <w:rPr>
          <w:rFonts w:ascii="Arial" w:cs="Arial" w:eastAsia="Arial" w:hAnsi="Arial"/>
          <w:sz w:val="24"/>
          <w:szCs w:val="24"/>
        </w:rPr>
        <w:t xml:space="preserve">                        Лицензиянын сериялык номери:</w:t>
      </w:r>
      <w:r>
        <w:rPr>
          <w:rFonts w:ascii="Arial" w:cs="Arial" w:eastAsia="Arial" w:hAnsi="Arial"/>
          <w:sz w:val="24"/>
          <w:szCs w:val="24"/>
        </w:rPr>
        <w:t xml:space="preserve">	</w:t>
      </w:r>
      <w:r>
        <w:rPr>
          <w:rFonts w:ascii="Arial" w:cs="Arial" w:eastAsia="Arial" w:hAnsi="Arial"/>
          <w:sz w:val="24"/>
          <w:szCs w:val="24"/>
        </w:rPr>
        <w:t xml:space="preserve">                             Серийный номер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
        <w:gridCol w:w="743"/>
        <w:gridCol w:w="623"/>
        <w:gridCol w:w="877"/>
        <w:gridCol w:w="600"/>
        <w:gridCol w:w="511"/>
        <w:gridCol w:w="730"/>
        <w:gridCol w:w="730"/>
        <w:gridCol w:w="600"/>
        <w:gridCol w:w="433"/>
        <w:gridCol w:w="484"/>
        <w:gridCol w:w="429"/>
        <w:gridCol w:w="429"/>
        <w:gridCol w:w="735"/>
        <w:gridCol w:w="657"/>
        <w:gridCol w:w="574"/>
        <w:gridCol w:w="372"/>
        <w:gridCol w:w="484"/>
      </w:tblGrid>
      <w:tr>
        <w:tc>
          <w:tcPr>
            <w:tcW w:type="dxa" w:w="1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32"/>
          <w:szCs w:val="32"/>
        </w:rPr>
        <w:t xml:space="preserve">АКТ
 о предлицензионной проверке соответствия лицензионным требованиям</w:t>
      </w:r>
    </w:p>
    <w:p>
      <w:pPr>
        <w:spacing w:after="60"/>
        <w:ind w:firstLine="567"/>
        <w:jc w:val="both"/>
      </w:pPr>
      <w:r>
        <w:rPr>
          <w:rFonts w:ascii="Arial" w:cs="Arial" w:eastAsia="Arial" w:hAnsi="Arial"/>
          <w:sz w:val="24"/>
          <w:szCs w:val="24"/>
        </w:rPr>
        <w:t xml:space="preserve">Основания для проведения предлицензионной проверки: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экспертной комиссии: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Члены экспертной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Общие сведения: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заявителя: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полностью и сокращенно)</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Номер свидетельства о регистрации (перерегистрации)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___________________________________</w:t>
      </w:r>
    </w:p>
    <w:p>
      <w:pPr>
        <w:spacing w:after="60"/>
        <w:ind w:firstLine="567"/>
        <w:jc w:val="both"/>
      </w:pPr>
      <w:r>
        <w:rPr>
          <w:rFonts w:ascii="Arial" w:cs="Arial" w:eastAsia="Arial" w:hAnsi="Arial"/>
          <w:sz w:val="24"/>
          <w:szCs w:val="24"/>
        </w:rPr>
        <w:t xml:space="preserve">Дата регистрации заявления: ___________________________________________________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соответствии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1824"/>
        <w:gridCol w:w="4971"/>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4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(указать на несоответствие)</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Дополнительные лицензионные требования для реализации
 программ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5726"/>
        <w:gridCol w:w="1592"/>
        <w:gridCol w:w="2508"/>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деятельности по подготовке водителей транспортных средств</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предлицензионной проверки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заявителя)</w:t>
      </w:r>
    </w:p>
    <w:p>
      <w:pPr>
        <w:spacing w:after="60"/>
        <w:ind w:firstLine="567"/>
        <w:jc w:val="both"/>
      </w:pPr>
      <w:r>
        <w:rPr>
          <w:rFonts w:ascii="Arial" w:cs="Arial" w:eastAsia="Arial" w:hAnsi="Arial"/>
          <w:sz w:val="24"/>
          <w:szCs w:val="24"/>
        </w:rPr>
        <w:t xml:space="preserve">установлено соответствие/несоответствие лицензионным требованиям.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экспертной комиссии: ____________________________________________</w:t>
      </w:r>
    </w:p>
    <w:p>
      <w:pPr>
        <w:spacing w:after="60"/>
        <w:ind w:firstLine="567"/>
        <w:jc w:val="both"/>
      </w:pPr>
      <w:r>
        <w:rPr>
          <w:rFonts w:ascii="Arial" w:cs="Arial" w:eastAsia="Arial" w:hAnsi="Arial"/>
          <w:sz w:val="24"/>
          <w:szCs w:val="24"/>
        </w:rPr>
        <w:t xml:space="preserve">Члены экспертной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актом ознакомлен: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дата, роспись заявителя)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переоформить лицензию № ________ от "___" _____________________ 20__ года,</w:t>
      </w:r>
    </w:p>
    <w:p>
      <w:pPr>
        <w:spacing w:after="60"/>
        <w:ind w:firstLine="567"/>
        <w:jc w:val="both"/>
      </w:pPr>
      <w:r>
        <w:rPr>
          <w:rFonts w:ascii="Arial" w:cs="Arial" w:eastAsia="Arial" w:hAnsi="Arial"/>
          <w:sz w:val="24"/>
          <w:szCs w:val="24"/>
        </w:rPr>
        <w:t xml:space="preserve">серия ______________ на осуществление образовательной деятельности 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полное наименование юридического лица)</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 помещени</w:t>
      </w: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____________________________</w:t>
      </w:r>
    </w:p>
    <w:p>
      <w:pPr>
        <w:spacing w:after="60"/>
        <w:ind w:firstLine="567"/>
        <w:jc w:val="both"/>
      </w:pPr>
      <w:r>
        <w:rPr>
          <w:rFonts w:ascii="Arial" w:cs="Arial" w:eastAsia="Arial" w:hAnsi="Arial"/>
          <w:sz w:val="24"/>
          <w:szCs w:val="24"/>
        </w:rPr>
        <w:t xml:space="preserve">в связи с (оставить нужное (нужные):</w:t>
      </w:r>
    </w:p>
    <w:p>
      <w:pPr>
        <w:spacing w:after="60"/>
        <w:ind w:firstLine="567"/>
        <w:jc w:val="both"/>
      </w:pPr>
      <w:r>
        <w:rPr>
          <w:rFonts w:ascii="Arial" w:cs="Arial" w:eastAsia="Arial" w:hAnsi="Arial"/>
          <w:sz w:val="24"/>
          <w:szCs w:val="24"/>
        </w:rPr>
        <w:t xml:space="preserve">- изменением наименования юридического лица;</w:t>
      </w:r>
    </w:p>
    <w:p>
      <w:pPr>
        <w:spacing w:after="60"/>
        <w:ind w:firstLine="567"/>
        <w:jc w:val="both"/>
      </w:pPr>
      <w:r>
        <w:rPr>
          <w:rFonts w:ascii="Arial" w:cs="Arial" w:eastAsia="Arial" w:hAnsi="Arial"/>
          <w:sz w:val="24"/>
          <w:szCs w:val="24"/>
        </w:rPr>
        <w:t xml:space="preserve">- реорганизацией юридического лица.</w:t>
      </w:r>
    </w:p>
    <w:p>
      <w:pPr>
        <w:spacing w:after="60"/>
        <w:ind w:firstLine="567"/>
        <w:jc w:val="both"/>
      </w:pPr>
      <w:r>
        <w:rPr>
          <w:rFonts w:ascii="Arial" w:cs="Arial" w:eastAsia="Arial" w:hAnsi="Arial"/>
          <w:sz w:val="24"/>
          <w:szCs w:val="24"/>
        </w:rPr>
        <w:t xml:space="preserve">Реквизиты документа, подтверждающего уплату государственной пошлины за</w:t>
      </w:r>
    </w:p>
    <w:p>
      <w:pPr>
        <w:spacing w:after="60"/>
        <w:ind w:firstLine="567"/>
        <w:jc w:val="both"/>
      </w:pPr>
      <w:r>
        <w:rPr>
          <w:rFonts w:ascii="Arial" w:cs="Arial" w:eastAsia="Arial" w:hAnsi="Arial"/>
          <w:sz w:val="24"/>
          <w:szCs w:val="24"/>
        </w:rPr>
        <w:t xml:space="preserve">переоформление лицензии: ____________________________________________________</w:t>
      </w:r>
    </w:p>
    <w:p>
      <w:pPr>
        <w:spacing w:after="60"/>
        <w:ind w:firstLine="567"/>
        <w:jc w:val="both"/>
      </w:pPr>
      <w:r>
        <w:rPr>
          <w:rFonts w:ascii="Arial" w:cs="Arial" w:eastAsia="Arial" w:hAnsi="Arial"/>
          <w:sz w:val="24"/>
          <w:szCs w:val="24"/>
        </w:rPr>
        <w:t xml:space="preserve">Номер телефона (факса) заявителя: _____________________________________________</w:t>
      </w:r>
    </w:p>
    <w:p>
      <w:pPr>
        <w:spacing w:after="60"/>
        <w:ind w:firstLine="567"/>
        <w:jc w:val="both"/>
      </w:pPr>
      <w:r>
        <w:rPr>
          <w:rFonts w:ascii="Arial" w:cs="Arial" w:eastAsia="Arial" w:hAnsi="Arial"/>
          <w:sz w:val="24"/>
          <w:szCs w:val="24"/>
        </w:rPr>
        <w:t xml:space="preserve">Адрес электронной почты заявителя: _____________________________________________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 электронной</w:t>
      </w:r>
    </w:p>
    <w:p>
      <w:pPr>
        <w:spacing w:after="60"/>
        <w:ind w:firstLine="567"/>
        <w:jc w:val="both"/>
      </w:pPr>
      <w:r>
        <w:rPr>
          <w:rFonts w:ascii="Arial" w:cs="Arial" w:eastAsia="Arial" w:hAnsi="Arial"/>
          <w:sz w:val="24"/>
          <w:szCs w:val="24"/>
        </w:rPr>
        <w:t xml:space="preserve">форме: ______________________________________________________________________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дубликат лицензии № _______ от "___" ____________________ 20__ года,</w:t>
      </w:r>
    </w:p>
    <w:p>
      <w:pPr>
        <w:spacing w:after="60"/>
        <w:ind w:firstLine="567"/>
        <w:jc w:val="both"/>
      </w:pPr>
      <w:r>
        <w:rPr>
          <w:rFonts w:ascii="Arial" w:cs="Arial" w:eastAsia="Arial" w:hAnsi="Arial"/>
          <w:sz w:val="24"/>
          <w:szCs w:val="24"/>
        </w:rPr>
        <w:t xml:space="preserve">серия __________________________ на осуществление образовательной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полное наименование юридического лица)</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 помещения</w:t>
      </w:r>
    </w:p>
    <w:p>
      <w:pPr>
        <w:spacing w:after="60"/>
        <w:ind w:firstLine="567"/>
        <w:jc w:val="both"/>
      </w:pPr>
      <w:r>
        <w:rPr>
          <w:rFonts w:ascii="Arial" w:cs="Arial" w:eastAsia="Arial" w:hAnsi="Arial"/>
          <w:sz w:val="24"/>
          <w:szCs w:val="24"/>
        </w:rPr>
        <w:t xml:space="preserve">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w:t>
      </w:r>
    </w:p>
    <w:p>
      <w:pPr>
        <w:spacing w:after="60"/>
        <w:ind w:firstLine="567"/>
        <w:jc w:val="both"/>
      </w:pPr>
      <w:r>
        <w:rPr>
          <w:rFonts w:ascii="Arial" w:cs="Arial" w:eastAsia="Arial" w:hAnsi="Arial"/>
          <w:sz w:val="24"/>
          <w:szCs w:val="24"/>
        </w:rPr>
        <w:t xml:space="preserve">в связи с (оставить нужное (нужные):</w:t>
      </w:r>
    </w:p>
    <w:p>
      <w:pPr>
        <w:spacing w:after="60"/>
        <w:ind w:firstLine="567"/>
        <w:jc w:val="both"/>
      </w:pPr>
      <w:r>
        <w:rPr>
          <w:rFonts w:ascii="Arial" w:cs="Arial" w:eastAsia="Arial" w:hAnsi="Arial"/>
          <w:sz w:val="24"/>
          <w:szCs w:val="24"/>
        </w:rPr>
        <w:t xml:space="preserve">- утерей;</w:t>
      </w:r>
    </w:p>
    <w:p>
      <w:pPr>
        <w:spacing w:after="60"/>
        <w:ind w:firstLine="567"/>
        <w:jc w:val="both"/>
      </w:pPr>
      <w:r>
        <w:rPr>
          <w:rFonts w:ascii="Arial" w:cs="Arial" w:eastAsia="Arial" w:hAnsi="Arial"/>
          <w:sz w:val="24"/>
          <w:szCs w:val="24"/>
        </w:rPr>
        <w:t xml:space="preserve">- порчей.</w:t>
      </w:r>
    </w:p>
    <w:p>
      <w:pPr>
        <w:spacing w:after="60"/>
        <w:ind w:firstLine="567"/>
        <w:jc w:val="both"/>
      </w:pPr>
      <w:r>
        <w:rPr>
          <w:rFonts w:ascii="Arial" w:cs="Arial" w:eastAsia="Arial" w:hAnsi="Arial"/>
          <w:sz w:val="24"/>
          <w:szCs w:val="24"/>
        </w:rPr>
        <w:t xml:space="preserve">Номер телефона (факса) лицензиата: ___________________________________________</w:t>
      </w:r>
    </w:p>
    <w:p>
      <w:pPr>
        <w:spacing w:after="60"/>
        <w:ind w:firstLine="567"/>
        <w:jc w:val="both"/>
      </w:pPr>
      <w:r>
        <w:rPr>
          <w:rFonts w:ascii="Arial" w:cs="Arial" w:eastAsia="Arial" w:hAnsi="Arial"/>
          <w:sz w:val="24"/>
          <w:szCs w:val="24"/>
        </w:rPr>
        <w:t xml:space="preserve">Адрес электронной почты лицензиата: 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w:t>
      </w:r>
    </w:p>
    <w:p>
      <w:pPr>
        <w:spacing w:after="60"/>
        <w:ind w:firstLine="567"/>
        <w:jc w:val="both"/>
      </w:pPr>
      <w:r>
        <w:rPr>
          <w:rFonts w:ascii="Arial" w:cs="Arial" w:eastAsia="Arial" w:hAnsi="Arial"/>
          <w:sz w:val="24"/>
          <w:szCs w:val="24"/>
        </w:rPr>
        <w:t xml:space="preserve">электронной форме: 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28"/>
          <w:szCs w:val="28"/>
        </w:rPr>
        <w:t xml:space="preserve">АКТ
 о проверке соответствия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Основания для проведения лицензионной проверки: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Должностное лицо: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Общие сведения: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полностью и сокращенно)</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Номер свидетельства о регистрации (перерегистрации)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w:t>
      </w:r>
    </w:p>
    <w:p>
      <w:pPr>
        <w:spacing w:after="60"/>
        <w:ind w:firstLine="567"/>
        <w:jc w:val="both"/>
      </w:pPr>
      <w:r>
        <w:rPr>
          <w:rFonts w:ascii="Arial" w:cs="Arial" w:eastAsia="Arial" w:hAnsi="Arial"/>
          <w:sz w:val="24"/>
          <w:szCs w:val="24"/>
        </w:rPr>
        <w:t xml:space="preserve">Руководитель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Организаторы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юридического лица)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предыдущих выданных лицензиях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851"/>
        <w:gridCol w:w="2136"/>
        <w:gridCol w:w="1008"/>
        <w:gridCol w:w="947"/>
        <w:gridCol w:w="1963"/>
        <w:gridCol w:w="1979"/>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образовательных программ</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Максимальное количество обучающихся</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обучающихся на сегодняшний день</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программы обучения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программе обучения</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соответствии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1824"/>
        <w:gridCol w:w="4971"/>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4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(указать на несоответствие)</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Наименование образовательной деятельности по подготовке и переподготовки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Сведения о соответствии дополнительным лицензионным требованиям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Показатели по соблюдению дополнительных лицензионных требований
 для реализации программ по подготовке водителей 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021"/>
        <w:gridCol w:w="1441"/>
        <w:gridCol w:w="2420"/>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p>
            <w:pPr>
              <w:jc w:val="center"/>
            </w:pPr>
            <w:r>
              <w:rPr>
                <w:rFonts w:ascii="Arial" w:cs="Arial" w:eastAsia="Arial" w:hAnsi="Arial"/>
                <w:sz w:val="24"/>
                <w:szCs w:val="24"/>
              </w:rPr>
              <w:t xml:space="preserve">Укомплектованность штатными инженерно-педагогическими кадрами</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деятельности по подготовке водителей транспортных средств</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кв.м</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соответствия лицензионным требованиям образовательной</w:t>
      </w:r>
    </w:p>
    <w:p>
      <w:pPr>
        <w:spacing w:after="60"/>
        <w:ind w:firstLine="567"/>
        <w:jc w:val="both"/>
      </w:pPr>
      <w:r>
        <w:rPr>
          <w:rFonts w:ascii="Arial" w:cs="Arial" w:eastAsia="Arial" w:hAnsi="Arial"/>
          <w:sz w:val="24"/>
          <w:szCs w:val="24"/>
        </w:rPr>
        <w:t xml:space="preserve">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полагал бы:</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                                                 (замечания, предложения)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проверки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установлено соответствие/несоответствие лицензионным требованиям образовательной</w:t>
      </w:r>
    </w:p>
    <w:p>
      <w:pPr>
        <w:spacing w:after="60"/>
        <w:ind w:firstLine="567"/>
        <w:jc w:val="both"/>
      </w:pPr>
      <w:r>
        <w:rPr>
          <w:rFonts w:ascii="Arial" w:cs="Arial" w:eastAsia="Arial" w:hAnsi="Arial"/>
          <w:sz w:val="24"/>
          <w:szCs w:val="24"/>
        </w:rPr>
        <w:t xml:space="preserve">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Должностное лицо: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С актом ознакомлен: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дата, роспись руководителя образовательной деятельности</w:t>
      </w:r>
    </w:p>
    <w:p>
      <w:pPr>
        <w:spacing w:after="60"/>
        <w:ind w:firstLine="567"/>
        <w:jc w:val="both"/>
      </w:pPr>
      <w:r>
        <w:rPr>
          <w:rFonts w:ascii="Arial" w:cs="Arial" w:eastAsia="Arial" w:hAnsi="Arial"/>
          <w:sz w:val="24"/>
          <w:szCs w:val="24"/>
        </w:rPr>
        <w:t xml:space="preserve">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или законного представителя)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28"/>
          <w:szCs w:val="28"/>
        </w:rPr>
        <w:t xml:space="preserve">Дополнительные лицензионные требования для реализации программ по подготовке водителей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8248"/>
        <w:gridCol w:w="1635"/>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r>
      <w:tr>
        <w:tc>
          <w:tcPr>
            <w:tcW w:type="dxa" w:w="2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8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r>
    </w:tbl>
    <w:p>
      <w:pPr>
        <w:spacing w:after="60" w:before="120"/>
        <w:ind w:firstLine="567"/>
        <w:jc w:val="both"/>
      </w:pPr>
      <w:r>
        <w:rPr>
          <w:rFonts w:ascii="Arial" w:cs="Arial" w:eastAsia="Arial" w:hAnsi="Arial"/>
          <w:sz w:val="24"/>
          <w:szCs w:val="24"/>
        </w:rPr>
        <w:t xml:space="preserve">Примечание: Обязательное прохождение инструктора и курсанта предрейсового медицинского освидетельствования и предрейсового технического осмотра учебного автомобиля.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25bu9ej_itscgywhw0dv">
      <w:r>
        <w:rPr>
          <w:rFonts w:ascii="Arial" w:cs="Arial" w:eastAsia="Arial" w:hAnsi="Arial"/>
          <w:color w:val="132D3F"/>
          <w:sz w:val="16"/>
          <w:szCs w:val="16"/>
          <w:u w:val="single"/>
        </w:rPr>
        <w:t xml:space="preserve">dalil.kg/document/159961</w:t>
      </w:r>
    </w:hyperlink>
  </w:p>
  <w:p>
    <w:pPr>
      <w:spacing w:after="0" w:before="40"/>
      <w:jc w:val="center"/>
    </w:pPr>
    <w:hyperlink w:history="1" r:id="rIdr-0kmnmfhry7-9o2xie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qogk9phhmz8qpjhkc_z" Type="http://schemas.openxmlformats.org/officeDocument/2006/relationships/hyperlink" Target="https://dalil.kg/document/160716" TargetMode="External"/><Relationship Id="rIdlbuxkorgzwujz_1ok2fpw" Type="http://schemas.openxmlformats.org/officeDocument/2006/relationships/hyperlink" Target="https://dalil.kg/document/159944" TargetMode="External"/><Relationship Id="rIdmx20yqjg14g58fplqnfg1" Type="http://schemas.openxmlformats.org/officeDocument/2006/relationships/hyperlink" Target="https://dalil.kg/document/205058" TargetMode="External"/><Relationship Id="rIdivwcl6n0pgomuxndwfpit" Type="http://schemas.openxmlformats.org/officeDocument/2006/relationships/hyperlink" Target="https://dalil.kg/document/159961#pr1" TargetMode="External"/><Relationship Id="rIdshnl6vubzlb8u8jueqw-j" Type="http://schemas.openxmlformats.org/officeDocument/2006/relationships/hyperlink" Target="https://dalil.kg/document/159961#pr1" TargetMode="External"/><Relationship Id="rIdhv7zt_nwdixg6ymobqtfn" Type="http://schemas.openxmlformats.org/officeDocument/2006/relationships/hyperlink" Target="https://dalil.kg/document/159961#pr3" TargetMode="External"/><Relationship Id="rId78ppbdnpd1cj6q6bjuf2q" Type="http://schemas.openxmlformats.org/officeDocument/2006/relationships/hyperlink" Target="https://dalil.kg/document/159961#pr4" TargetMode="External"/><Relationship Id="rIdf4ltjanroaq5s3mmsbnwc" Type="http://schemas.openxmlformats.org/officeDocument/2006/relationships/hyperlink" Target="https://dalil.kg/document/159961#pr5" TargetMode="External"/><Relationship Id="rIdkitli7rionucj5hzb_hoa" Type="http://schemas.openxmlformats.org/officeDocument/2006/relationships/hyperlink" Target="https://dalil.kg/document/159961#pr6" TargetMode="External"/><Relationship Id="rId3eknx40j7herbzab6f6kr" Type="http://schemas.openxmlformats.org/officeDocument/2006/relationships/hyperlink" Target="https://dalil.kg/document/159961#g_4" TargetMode="External"/><Relationship Id="rIduqnzsnuthfil7ipyr6p4k" Type="http://schemas.openxmlformats.org/officeDocument/2006/relationships/hyperlink" Target="https://dalil.kg/document/159961#pr7" TargetMode="External"/><Relationship Id="rIdz6hpeu9vepspo58e8klps" Type="http://schemas.openxmlformats.org/officeDocument/2006/relationships/hyperlink" Target="https://dalil.kg/document/159961#g2" TargetMode="External"/><Relationship Id="rIduhloo0kxtwjkdolym7gfh" Type="http://schemas.openxmlformats.org/officeDocument/2006/relationships/hyperlink" Target="https://dalil.kg/document/159961#g2" TargetMode="External"/><Relationship Id="rId7kwkrlaekabm6tivg0idc" Type="http://schemas.openxmlformats.org/officeDocument/2006/relationships/hyperlink" Target="https://dalil.kg/document/159961#pr8" TargetMode="External"/><Relationship Id="rIdxfxoqj6meg-rdjx_abysj" Type="http://schemas.openxmlformats.org/officeDocument/2006/relationships/hyperlink" Target="https://dalil.kg/document/112309" TargetMode="External"/><Relationship Id="rIdaufedyrbhhnreykz9vamg" Type="http://schemas.openxmlformats.org/officeDocument/2006/relationships/hyperlink" Target="https://dalil.kg/document/112306" TargetMode="External"/><Relationship Id="rIdnqdwdkwbrmk0xujluqhy_" Type="http://schemas.openxmlformats.org/officeDocument/2006/relationships/hyperlink" Target="https://dalil.kg/document/205058#st_23" TargetMode="External"/><Relationship Id="rId-gsfv87ahaidmcnujt2yp" Type="http://schemas.openxmlformats.org/officeDocument/2006/relationships/hyperlink" Target="https://dalil.kg/document/159961#pr9" TargetMode="External"/><Relationship Id="rIdcmkx9wki4cihfcmzmn2ss" Type="http://schemas.openxmlformats.org/officeDocument/2006/relationships/hyperlink" Target="https://dalil.kg/document/159961#pr10" TargetMode="External"/><Relationship Id="rIdc-s5nbb-xmcdxtjvflrai" Type="http://schemas.openxmlformats.org/officeDocument/2006/relationships/hyperlink" Target="https://dalil.kg/document/111254#st_62" TargetMode="External"/><Relationship Id="rIdzcwald5jgekhwrhf8biig" Type="http://schemas.openxmlformats.org/officeDocument/2006/relationships/hyperlink" Target="https://dalil.kg/document/205058#st_21" TargetMode="External"/><Relationship Id="rIdi38jc7glpwjs-2eqk3wr-" Type="http://schemas.openxmlformats.org/officeDocument/2006/relationships/hyperlink" Target="https://dalil.kg/document/205058#st_28" TargetMode="External"/><Relationship Id="rId_nh4untwo9piwci2quxop" Type="http://schemas.openxmlformats.org/officeDocument/2006/relationships/hyperlink" Target="https://dalil.kg/document/159961#pr11" TargetMode="External"/><Relationship Id="rIdx447esiv3zbngi6aadvug" Type="http://schemas.openxmlformats.org/officeDocument/2006/relationships/hyperlink" Target="https://dalil.kg/document/111254#st_62" TargetMode="External"/><Relationship Id="rIdq-lbz5ea_uoioywxz5o9c" Type="http://schemas.openxmlformats.org/officeDocument/2006/relationships/hyperlink" Target="https://dalil.kg/document/159961#pr12" TargetMode="External"/><Relationship Id="rIddqqk0hixeym1z2hteisw3" Type="http://schemas.openxmlformats.org/officeDocument/2006/relationships/hyperlink" Target="https://dalil.kg/document/205058" TargetMode="External"/><Relationship Id="rIdfyxi74vkdkchtjj2g8ky1" Type="http://schemas.openxmlformats.org/officeDocument/2006/relationships/hyperlink" Target="https://dalil.kg/document/111820" TargetMode="External"/><Relationship Id="rIdpvf34a3agqxk40qbbcvdx" Type="http://schemas.openxmlformats.org/officeDocument/2006/relationships/hyperlink" Target="https://dalil.kg/document/205058" TargetMode="External"/><Relationship Id="rId3bkvjnamdf8o1bon_ouvq" Type="http://schemas.openxmlformats.org/officeDocument/2006/relationships/hyperlink" Target="https://dalil.kg/document/111254#st_62"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25bu9ej_itscgywhw0dv" Type="http://schemas.openxmlformats.org/officeDocument/2006/relationships/hyperlink" Target="https://dalil.kg/document/159961" TargetMode="External"/><Relationship Id="rIdr-0kmnmfhry7-9o2xie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2026-09-25T07:39:24.481Z</dcterms:created>
  <dcterms:modified xsi:type="dcterms:W3CDTF">2026-09-25T07:39:24.481Z</dcterms:modified>
</cp:coreProperties>
</file>

<file path=docProps/custom.xml><?xml version="1.0" encoding="utf-8"?>
<Properties xmlns="http://schemas.openxmlformats.org/officeDocument/2006/custom-properties" xmlns:vt="http://schemas.openxmlformats.org/officeDocument/2006/docPropsVTypes"/>
</file>