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17 февраля 2023 года № 82</w:t>
      </w:r>
    </w:p>
    <w:p>
      <w:pPr>
        <w:spacing w:after="120"/>
        <w:jc w:val="both"/>
      </w:pPr>
      <w:r>
        <w:rPr>
          <w:rFonts w:ascii="Arial" w:cs="Arial" w:eastAsia="Arial" w:hAnsi="Arial"/>
          <w:sz w:val="24"/>
          <w:szCs w:val="24"/>
        </w:rPr>
        <w:t xml:space="preserve">О внесении изменений в некоторые постановления Кабинета Министров Кыргызской Республики в сфере акцизного налога</w:t>
      </w:r>
    </w:p>
    <w:p>
      <w:pPr>
        <w:spacing w:after="120"/>
        <w:jc w:val="both"/>
      </w:pPr>
      <w:r>
        <w:rPr>
          <w:rFonts w:ascii="Arial" w:cs="Arial" w:eastAsia="Arial" w:hAnsi="Arial"/>
          <w:sz w:val="24"/>
          <w:szCs w:val="24"/>
        </w:rPr>
        <w:t xml:space="preserve">В целях реализации требований статей </w:t>
      </w:r>
      <w:hyperlink w:history="1" r:id="rIdd9y8oekn5zqpdrg2i0ypt">
        <w:r>
          <w:rPr>
            <w:rFonts w:ascii="Arial" w:cs="Arial" w:eastAsia="Arial" w:hAnsi="Arial"/>
            <w:color w:val="1D4ED8"/>
            <w:sz w:val="24"/>
            <w:szCs w:val="24"/>
            <w:u w:val="single"/>
          </w:rPr>
          <w:t xml:space="preserve">336</w:t>
        </w:r>
      </w:hyperlink>
      <w:r>
        <w:rPr>
          <w:rFonts w:ascii="Arial" w:cs="Arial" w:eastAsia="Arial" w:hAnsi="Arial"/>
          <w:sz w:val="24"/>
          <w:szCs w:val="24"/>
        </w:rPr>
        <w:t xml:space="preserve">, </w:t>
      </w:r>
      <w:hyperlink w:history="1" r:id="rIdvv-umbasxafwvtda6-cec">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в соответствии со статьями </w:t>
      </w:r>
      <w:hyperlink w:history="1" r:id="rIdqv1naozgtosezxue530d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ajc4cswnwy7do7f8vpjj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Внести в </w:t>
      </w:r>
      <w:hyperlink w:history="1" r:id="rIdxo0f9q8_o2-ghu1lwbt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336 и 345 Налогового кодекса Кыргызской Республики» от 22 февраля 2022 года № 94 следующие изменения:</w:t>
      </w:r>
    </w:p>
    <w:p>
      <w:pPr>
        <w:spacing w:after="120"/>
        <w:jc w:val="both"/>
      </w:pPr>
      <w:r>
        <w:rPr>
          <w:rFonts w:ascii="Arial" w:cs="Arial" w:eastAsia="Arial" w:hAnsi="Arial"/>
          <w:sz w:val="24"/>
          <w:szCs w:val="24"/>
        </w:rPr>
        <w:t xml:space="preserve">1) </w:t>
      </w:r>
      <w:hyperlink w:history="1" r:id="rIdwsy4v9ddsygb6kwtgthhv">
        <w:r>
          <w:rPr>
            <w:rFonts w:ascii="Arial" w:cs="Arial" w:eastAsia="Arial" w:hAnsi="Arial"/>
            <w:color w:val="1D4ED8"/>
            <w:sz w:val="24"/>
            <w:szCs w:val="24"/>
            <w:u w:val="single"/>
          </w:rPr>
          <w:t xml:space="preserve">пункт 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Установить, что маркировке маркой акцизного сбора подлежат:</w:t>
      </w:r>
    </w:p>
    <w:p>
      <w:pPr>
        <w:spacing w:after="120"/>
        <w:jc w:val="both"/>
      </w:pPr>
      <w:r>
        <w:rPr>
          <w:rFonts w:ascii="Arial" w:cs="Arial" w:eastAsia="Arial" w:hAnsi="Arial"/>
          <w:sz w:val="24"/>
          <w:szCs w:val="24"/>
        </w:rPr>
        <w:t xml:space="preserve">– с 1 января 2023 года пиво, расфасованное и нефасованное, классифицируемое в товарной позиции ТН ВЭД 2203, и табачные изделия, указанные в пунктах 6-8 части 1 </w:t>
      </w:r>
      <w:hyperlink w:history="1" r:id="rIdaumdbohb7-wpypf-g07uo">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 с 1 января 2024 года тонизирующие (энергетические) безалкогольные напитки, классифицируемые в товарной позиции ТН ВЭД 2202.</w:t>
      </w:r>
    </w:p>
    <w:p>
      <w:pPr>
        <w:spacing w:after="120"/>
        <w:jc w:val="both"/>
      </w:pPr>
      <w:r>
        <w:rPr>
          <w:rFonts w:ascii="Arial" w:cs="Arial" w:eastAsia="Arial" w:hAnsi="Arial"/>
          <w:sz w:val="24"/>
          <w:szCs w:val="24"/>
        </w:rPr>
        <w:t xml:space="preserve">Оборот остатков немаркированных подакцизных товаров, указанных в настоящем пункте, запрещается по истечении 6 месяцев с даты введения маркировки.»;</w:t>
      </w:r>
    </w:p>
    <w:p>
      <w:pPr>
        <w:spacing w:after="120"/>
        <w:jc w:val="both"/>
      </w:pPr>
      <w:r>
        <w:rPr>
          <w:rFonts w:ascii="Arial" w:cs="Arial" w:eastAsia="Arial" w:hAnsi="Arial"/>
          <w:sz w:val="24"/>
          <w:szCs w:val="24"/>
        </w:rPr>
        <w:t xml:space="preserve">2) в абзаце третьем </w:t>
      </w:r>
      <w:hyperlink w:history="1" r:id="rIdqaqvcsp0uqx-l6qggcjo0">
        <w:r>
          <w:rPr>
            <w:rFonts w:ascii="Arial" w:cs="Arial" w:eastAsia="Arial" w:hAnsi="Arial"/>
            <w:color w:val="1D4ED8"/>
            <w:sz w:val="24"/>
            <w:szCs w:val="24"/>
            <w:u w:val="single"/>
          </w:rPr>
          <w:t xml:space="preserve">пункта 4</w:t>
        </w:r>
      </w:hyperlink>
      <w:r>
        <w:rPr>
          <w:rFonts w:ascii="Arial" w:cs="Arial" w:eastAsia="Arial" w:hAnsi="Arial"/>
          <w:sz w:val="24"/>
          <w:szCs w:val="24"/>
        </w:rPr>
        <w:t xml:space="preserve"> слова «1 января 2023 года» заменить словами «1 января 2024 года»;</w:t>
      </w:r>
    </w:p>
    <w:p>
      <w:pPr>
        <w:spacing w:after="120"/>
        <w:jc w:val="both"/>
      </w:pPr>
      <w:r>
        <w:rPr>
          <w:rFonts w:ascii="Arial" w:cs="Arial" w:eastAsia="Arial" w:hAnsi="Arial"/>
          <w:sz w:val="24"/>
          <w:szCs w:val="24"/>
        </w:rPr>
        <w:t xml:space="preserve">3) в </w:t>
      </w:r>
      <w:hyperlink w:history="1" r:id="rId-5-n-m-p1jdkhi1rqnfi7">
        <w:r>
          <w:rPr>
            <w:rFonts w:ascii="Arial" w:cs="Arial" w:eastAsia="Arial" w:hAnsi="Arial"/>
            <w:color w:val="1D4ED8"/>
            <w:sz w:val="24"/>
            <w:szCs w:val="24"/>
            <w:u w:val="single"/>
          </w:rPr>
          <w:t xml:space="preserve">пункте 5</w:t>
        </w:r>
      </w:hyperlink>
      <w:r>
        <w:rPr>
          <w:rFonts w:ascii="Arial" w:cs="Arial" w:eastAsia="Arial" w:hAnsi="Arial"/>
          <w:sz w:val="24"/>
          <w:szCs w:val="24"/>
        </w:rPr>
        <w:t xml:space="preserve"> слова «31 октября 2022 года» заменить словами «31 декабря 2023 года»;</w:t>
      </w:r>
    </w:p>
    <w:p>
      <w:pPr>
        <w:spacing w:after="120"/>
        <w:jc w:val="both"/>
      </w:pPr>
      <w:r>
        <w:rPr>
          <w:rFonts w:ascii="Arial" w:cs="Arial" w:eastAsia="Arial" w:hAnsi="Arial"/>
          <w:sz w:val="24"/>
          <w:szCs w:val="24"/>
        </w:rPr>
        <w:t xml:space="preserve">4) в </w:t>
      </w:r>
      <w:hyperlink w:history="1" r:id="rIdqmzi1sxjdiyual1jmzdo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выдачи и применения марок акцизного сбора в Кыргызской Республике, утвержденном вышеуказанным </w:t>
      </w:r>
      <w:hyperlink w:history="1" r:id="rIdozh5j1yrtcopotfhkudj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l-w30h1u5bzsjflzn7qur">
        <w:r>
          <w:rPr>
            <w:rFonts w:ascii="Arial" w:cs="Arial" w:eastAsia="Arial" w:hAnsi="Arial"/>
            <w:color w:val="1D4ED8"/>
            <w:sz w:val="24"/>
            <w:szCs w:val="24"/>
            <w:u w:val="single"/>
          </w:rPr>
          <w:t xml:space="preserve">пункт 38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«38. Маркировка маркой акцизного сбора производимой и импортируемой продукции на территории Кыргызской Республики с территории государств-членов ЕАЭС осуществляется под налоговым контролем, с территории третьих стран – под таможенным контролем (в том числе на территории таможенного склада, таможенного терминала и складах временного хранения, включенных в реестр, утверждаемый уполномоченным органом в сфере таможенного дела).»;</w:t>
      </w:r>
    </w:p>
    <w:p>
      <w:pPr>
        <w:spacing w:after="120"/>
        <w:jc w:val="both"/>
      </w:pPr>
      <w:r>
        <w:rPr>
          <w:rFonts w:ascii="Arial" w:cs="Arial" w:eastAsia="Arial" w:hAnsi="Arial"/>
          <w:sz w:val="24"/>
          <w:szCs w:val="24"/>
        </w:rPr>
        <w:t xml:space="preserve">5) в </w:t>
      </w:r>
      <w:hyperlink w:history="1" r:id="rIdaccybyyfgwhmtzbdppliv">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применения и администрирования депозитного платежа при ввозе маркируемой алкогольной продукции из государств-членов Евразийского экономического союза, утвержденном вышеуказанным </w:t>
      </w:r>
      <w:hyperlink w:history="1" r:id="rIdbncqwnitrx8-3o7g_bpp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pcgvgo83id0-smdcykuzp">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дополнить подпунктом 6 следующего содержания:</w:t>
      </w:r>
    </w:p>
    <w:p>
      <w:pPr>
        <w:spacing w:after="120"/>
        <w:jc w:val="both"/>
      </w:pPr>
      <w:r>
        <w:rPr>
          <w:rFonts w:ascii="Arial" w:cs="Arial" w:eastAsia="Arial" w:hAnsi="Arial"/>
          <w:sz w:val="24"/>
          <w:szCs w:val="24"/>
        </w:rPr>
        <w:t xml:space="preserve">«6) банковская гарантия – это письменное обязательство коммерческого банка Кыргызской Республики, гарантирующего оплатить органу налоговой службы сумму обязательства импортера в размере депозитного платежа, указанную в банковской гарантии налогоплательщика, за ненадлежащее использование марок акцизного сбора.»;</w:t>
      </w:r>
    </w:p>
    <w:p>
      <w:pPr>
        <w:spacing w:after="120"/>
        <w:jc w:val="both"/>
      </w:pPr>
      <w:r>
        <w:rPr>
          <w:rFonts w:ascii="Arial" w:cs="Arial" w:eastAsia="Arial" w:hAnsi="Arial"/>
          <w:sz w:val="24"/>
          <w:szCs w:val="24"/>
        </w:rPr>
        <w:t xml:space="preserve">– подпункт 2 </w:t>
      </w:r>
      <w:hyperlink w:history="1" r:id="rIdupunqyo-m6zfxazc24tpp">
        <w:r>
          <w:rPr>
            <w:rFonts w:ascii="Arial" w:cs="Arial" w:eastAsia="Arial" w:hAnsi="Arial"/>
            <w:color w:val="1D4ED8"/>
            <w:sz w:val="24"/>
            <w:szCs w:val="24"/>
            <w:u w:val="single"/>
          </w:rPr>
          <w:t xml:space="preserve">пункта 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платежный документ, подтверждающий внесение денег на депозитный счет уполномоченного налогового органа для обеспечения исполнения обязательства, или банковскую гарантию, выданную на имя уполномоченного налогового органа, в размере депозитного платежа со сроком действия не менее 6 месяцев с даты подачи заявления на получение акцизных марок.»;</w:t>
      </w:r>
    </w:p>
    <w:p>
      <w:pPr>
        <w:spacing w:after="120"/>
        <w:jc w:val="both"/>
      </w:pPr>
      <w:r>
        <w:rPr>
          <w:rFonts w:ascii="Arial" w:cs="Arial" w:eastAsia="Arial" w:hAnsi="Arial"/>
          <w:sz w:val="24"/>
          <w:szCs w:val="24"/>
        </w:rPr>
        <w:t xml:space="preserve">– </w:t>
      </w:r>
      <w:hyperlink w:history="1" r:id="rIdti6gpoychtzypfanvs8z-">
        <w:r>
          <w:rPr>
            <w:rFonts w:ascii="Arial" w:cs="Arial" w:eastAsia="Arial" w:hAnsi="Arial"/>
            <w:color w:val="1D4ED8"/>
            <w:sz w:val="24"/>
            <w:szCs w:val="24"/>
            <w:u w:val="single"/>
          </w:rPr>
          <w:t xml:space="preserve">пункт 6</w:t>
        </w:r>
      </w:hyperlink>
      <w:r>
        <w:rPr>
          <w:rFonts w:ascii="Arial" w:cs="Arial" w:eastAsia="Arial" w:hAnsi="Arial"/>
          <w:sz w:val="24"/>
          <w:szCs w:val="24"/>
        </w:rPr>
        <w:t xml:space="preserve"> после слов «налогового органа» дополнить словами «или предоставления банковской гарантии»;</w:t>
      </w:r>
    </w:p>
    <w:p>
      <w:pPr>
        <w:spacing w:after="120"/>
        <w:jc w:val="both"/>
      </w:pPr>
      <w:r>
        <w:rPr>
          <w:rFonts w:ascii="Arial" w:cs="Arial" w:eastAsia="Arial" w:hAnsi="Arial"/>
          <w:sz w:val="24"/>
          <w:szCs w:val="24"/>
        </w:rPr>
        <w:t xml:space="preserve">– </w:t>
      </w:r>
      <w:hyperlink w:history="1" r:id="rIdfvgdg0s6ycrdfgnmfd0mx">
        <w:r>
          <w:rPr>
            <w:rFonts w:ascii="Arial" w:cs="Arial" w:eastAsia="Arial" w:hAnsi="Arial"/>
            <w:color w:val="1D4ED8"/>
            <w:sz w:val="24"/>
            <w:szCs w:val="24"/>
            <w:u w:val="single"/>
          </w:rPr>
          <w:t xml:space="preserve">пункт 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«7. Внесение денег на депозитный счет или предоставление банковской гарантии осуществляется в национальной валюте Кыргызской Республики.»;</w:t>
      </w:r>
    </w:p>
    <w:p>
      <w:pPr>
        <w:spacing w:after="120"/>
        <w:jc w:val="both"/>
      </w:pPr>
      <w:r>
        <w:rPr>
          <w:rFonts w:ascii="Arial" w:cs="Arial" w:eastAsia="Arial" w:hAnsi="Arial"/>
          <w:sz w:val="24"/>
          <w:szCs w:val="24"/>
        </w:rPr>
        <w:t xml:space="preserve">– </w:t>
      </w:r>
      <w:hyperlink w:history="1" r:id="rIdc_vrv0pydwqoqmvet6mu3">
        <w:r>
          <w:rPr>
            <w:rFonts w:ascii="Arial" w:cs="Arial" w:eastAsia="Arial" w:hAnsi="Arial"/>
            <w:color w:val="1D4ED8"/>
            <w:sz w:val="24"/>
            <w:szCs w:val="24"/>
            <w:u w:val="single"/>
          </w:rPr>
          <w:t xml:space="preserve">пункт 12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«12. Уполномоченный налоговый орган осуществляет учет и контроль за исполнением импортером обязательств по внесению денежных средств на депозитный счет или предоставлению банковской гарантии. Для учета внесенных импортером денежных средств или предоставленной банковской гарантии уполномоченный налоговый орган ведет лицевые карточки по суммам исполнения обязательства (далее - лицевая карточка).»;</w:t>
      </w:r>
    </w:p>
    <w:p>
      <w:pPr>
        <w:spacing w:after="120"/>
        <w:jc w:val="both"/>
      </w:pPr>
      <w:r>
        <w:rPr>
          <w:rFonts w:ascii="Arial" w:cs="Arial" w:eastAsia="Arial" w:hAnsi="Arial"/>
          <w:sz w:val="24"/>
          <w:szCs w:val="24"/>
        </w:rPr>
        <w:t xml:space="preserve">– подпункты 1, 2 </w:t>
      </w:r>
      <w:hyperlink w:history="1" r:id="rIdubd_jp5gdktakeif3phjy">
        <w:r>
          <w:rPr>
            <w:rFonts w:ascii="Arial" w:cs="Arial" w:eastAsia="Arial" w:hAnsi="Arial"/>
            <w:color w:val="1D4ED8"/>
            <w:sz w:val="24"/>
            <w:szCs w:val="24"/>
            <w:u w:val="single"/>
          </w:rPr>
          <w:t xml:space="preserve">пункта 13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учета денежных средств, внесенных на депозитный счет уполномоченного налогового органа, или предоставленной банковской гарантии;</w:t>
      </w:r>
    </w:p>
    <w:p>
      <w:pPr>
        <w:spacing w:after="120"/>
        <w:jc w:val="both"/>
      </w:pPr>
      <w:r>
        <w:rPr>
          <w:rFonts w:ascii="Arial" w:cs="Arial" w:eastAsia="Arial" w:hAnsi="Arial"/>
          <w:sz w:val="24"/>
          <w:szCs w:val="24"/>
        </w:rPr>
        <w:t xml:space="preserve">2) своевременного зачисления сумм депозитного платежа с депозитного счета уполномоченного налогового органа или истребования исполнения банковской гарантии в доход государственного бюджета по неисполненным обязательствам импортеров;»;</w:t>
      </w:r>
    </w:p>
    <w:p>
      <w:pPr>
        <w:spacing w:after="120"/>
        <w:jc w:val="both"/>
      </w:pPr>
      <w:r>
        <w:rPr>
          <w:rFonts w:ascii="Arial" w:cs="Arial" w:eastAsia="Arial" w:hAnsi="Arial"/>
          <w:sz w:val="24"/>
          <w:szCs w:val="24"/>
        </w:rPr>
        <w:t xml:space="preserve">– </w:t>
      </w:r>
      <w:hyperlink w:history="1" r:id="rIdrp_fmhnpno8quy2juhpmh">
        <w:r>
          <w:rPr>
            <w:rFonts w:ascii="Arial" w:cs="Arial" w:eastAsia="Arial" w:hAnsi="Arial"/>
            <w:color w:val="1D4ED8"/>
            <w:sz w:val="24"/>
            <w:szCs w:val="24"/>
            <w:u w:val="single"/>
          </w:rPr>
          <w:t xml:space="preserve">пункт 14</w:t>
        </w:r>
      </w:hyperlink>
      <w:r>
        <w:rPr>
          <w:rFonts w:ascii="Arial" w:cs="Arial" w:eastAsia="Arial" w:hAnsi="Arial"/>
          <w:sz w:val="24"/>
          <w:szCs w:val="24"/>
        </w:rPr>
        <w:t xml:space="preserve"> после слов «принятого обязательства» дополнить словами «или предоставленной банковской гарантии»;</w:t>
      </w:r>
    </w:p>
    <w:p>
      <w:pPr>
        <w:spacing w:after="120"/>
        <w:jc w:val="both"/>
      </w:pPr>
      <w:r>
        <w:rPr>
          <w:rFonts w:ascii="Arial" w:cs="Arial" w:eastAsia="Arial" w:hAnsi="Arial"/>
          <w:sz w:val="24"/>
          <w:szCs w:val="24"/>
        </w:rPr>
        <w:t xml:space="preserve">– </w:t>
      </w:r>
      <w:hyperlink w:history="1" r:id="rIdn-eysfbis9raqtjbxt4ck">
        <w:r>
          <w:rPr>
            <w:rFonts w:ascii="Arial" w:cs="Arial" w:eastAsia="Arial" w:hAnsi="Arial"/>
            <w:color w:val="1D4ED8"/>
            <w:sz w:val="24"/>
            <w:szCs w:val="24"/>
            <w:u w:val="single"/>
          </w:rPr>
          <w:t xml:space="preserve">пункт 16</w:t>
        </w:r>
      </w:hyperlink>
      <w:r>
        <w:rPr>
          <w:rFonts w:ascii="Arial" w:cs="Arial" w:eastAsia="Arial" w:hAnsi="Arial"/>
          <w:sz w:val="24"/>
          <w:szCs w:val="24"/>
        </w:rPr>
        <w:t xml:space="preserve"> после слов «налогового органа» дополнить словами «или предоставление банковской гарантии»;</w:t>
      </w:r>
    </w:p>
    <w:p>
      <w:pPr>
        <w:spacing w:after="120"/>
        <w:jc w:val="both"/>
      </w:pPr>
      <w:r>
        <w:rPr>
          <w:rFonts w:ascii="Arial" w:cs="Arial" w:eastAsia="Arial" w:hAnsi="Arial"/>
          <w:sz w:val="24"/>
          <w:szCs w:val="24"/>
        </w:rPr>
        <w:t xml:space="preserve">– абзаце первом </w:t>
      </w:r>
      <w:hyperlink w:history="1" r:id="rIdh9yow2atxzuml0kt3kog3">
        <w:r>
          <w:rPr>
            <w:rFonts w:ascii="Arial" w:cs="Arial" w:eastAsia="Arial" w:hAnsi="Arial"/>
            <w:color w:val="1D4ED8"/>
            <w:sz w:val="24"/>
            <w:szCs w:val="24"/>
            <w:u w:val="single"/>
          </w:rPr>
          <w:t xml:space="preserve">пункта 18</w:t>
        </w:r>
      </w:hyperlink>
      <w:r>
        <w:rPr>
          <w:rFonts w:ascii="Arial" w:cs="Arial" w:eastAsia="Arial" w:hAnsi="Arial"/>
          <w:sz w:val="24"/>
          <w:szCs w:val="24"/>
        </w:rPr>
        <w:t xml:space="preserve"> слова «Депозитный платеж» заменить словами «Депозитный платеж, внесенный на счет уполномоченного налогового органа,»;</w:t>
      </w:r>
    </w:p>
    <w:p>
      <w:pPr>
        <w:spacing w:after="120"/>
        <w:jc w:val="both"/>
      </w:pPr>
      <w:r>
        <w:rPr>
          <w:rFonts w:ascii="Arial" w:cs="Arial" w:eastAsia="Arial" w:hAnsi="Arial"/>
          <w:sz w:val="24"/>
          <w:szCs w:val="24"/>
        </w:rPr>
        <w:t xml:space="preserve">6) в </w:t>
      </w:r>
      <w:hyperlink w:history="1" r:id="rIdo-trhsgk-8bfwis0k1-jk">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w:t>
      </w:r>
      <w:hyperlink w:history="1" r:id="rIdtuxdlgqpzv9hqnis0ske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 слова «20 сомов/литр», «30 сомов/литр» заменить соответственно словами «2 сома/литр», «3 сома/литр».</w:t>
      </w:r>
    </w:p>
    <w:p>
      <w:pPr>
        <w:spacing w:after="120"/>
        <w:jc w:val="both"/>
      </w:pPr>
      <w:r>
        <w:rPr>
          <w:rFonts w:ascii="Arial" w:cs="Arial" w:eastAsia="Arial" w:hAnsi="Arial"/>
          <w:sz w:val="24"/>
          <w:szCs w:val="24"/>
        </w:rPr>
        <w:t xml:space="preserve">2. Внести в </w:t>
      </w:r>
      <w:hyperlink w:history="1" r:id="rIdfj4akxq39eixowyy0wtf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59, 85, 127, 130, 131, 329, 414 и 415 Налогового кодекса Кыргызской Республики» от 24 февраля 2022 года № 95 следующие изменения:</w:t>
      </w:r>
    </w:p>
    <w:p>
      <w:pPr>
        <w:spacing w:after="120"/>
        <w:jc w:val="both"/>
      </w:pPr>
      <w:r>
        <w:rPr>
          <w:rFonts w:ascii="Arial" w:cs="Arial" w:eastAsia="Arial" w:hAnsi="Arial"/>
          <w:sz w:val="24"/>
          <w:szCs w:val="24"/>
        </w:rPr>
        <w:t xml:space="preserve">1) в </w:t>
      </w:r>
      <w:hyperlink w:history="1" r:id="rIdkabwdcncxdx-3zk5ckord">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проведения и оформления материалов рейдового налогового контроля, утвержденном вышеуказанным постановлением:</w:t>
      </w:r>
    </w:p>
    <w:p>
      <w:pPr>
        <w:spacing w:after="120"/>
        <w:jc w:val="both"/>
      </w:pPr>
      <w:r>
        <w:rPr>
          <w:rFonts w:ascii="Arial" w:cs="Arial" w:eastAsia="Arial" w:hAnsi="Arial"/>
          <w:sz w:val="24"/>
          <w:szCs w:val="24"/>
        </w:rPr>
        <w:t xml:space="preserve">– в </w:t>
      </w:r>
      <w:hyperlink w:history="1" r:id="rIdujhj7dvjpsomgm-x0n1fc">
        <w:r>
          <w:rPr>
            <w:rFonts w:ascii="Arial" w:cs="Arial" w:eastAsia="Arial" w:hAnsi="Arial"/>
            <w:color w:val="1D4ED8"/>
            <w:sz w:val="24"/>
            <w:szCs w:val="24"/>
            <w:u w:val="single"/>
          </w:rPr>
          <w:t xml:space="preserve">пункте 1</w:t>
        </w:r>
      </w:hyperlink>
      <w:r>
        <w:rPr>
          <w:rFonts w:ascii="Arial" w:cs="Arial" w:eastAsia="Arial" w:hAnsi="Arial"/>
          <w:sz w:val="24"/>
          <w:szCs w:val="24"/>
        </w:rPr>
        <w:t xml:space="preserve"> слова «и Законом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исключить;</w:t>
      </w:r>
    </w:p>
    <w:p>
      <w:pPr>
        <w:spacing w:after="120"/>
        <w:jc w:val="both"/>
      </w:pPr>
      <w:r>
        <w:rPr>
          <w:rFonts w:ascii="Arial" w:cs="Arial" w:eastAsia="Arial" w:hAnsi="Arial"/>
          <w:sz w:val="24"/>
          <w:szCs w:val="24"/>
        </w:rPr>
        <w:t xml:space="preserve">– в </w:t>
      </w:r>
      <w:hyperlink w:history="1" r:id="rId3lr9i3bozii_mui1ns5m2">
        <w:r>
          <w:rPr>
            <w:rFonts w:ascii="Arial" w:cs="Arial" w:eastAsia="Arial" w:hAnsi="Arial"/>
            <w:color w:val="1D4ED8"/>
            <w:sz w:val="24"/>
            <w:szCs w:val="24"/>
            <w:u w:val="single"/>
          </w:rPr>
          <w:t xml:space="preserve">пункте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абзаце первом слова «, законодательства в сфере оборота спиртосодержащей продукции Кыргызской Республики» исключить;</w:t>
      </w:r>
    </w:p>
    <w:p>
      <w:pPr>
        <w:spacing w:after="120"/>
        <w:jc w:val="both"/>
      </w:pPr>
      <w:r>
        <w:rPr>
          <w:rFonts w:ascii="Arial" w:cs="Arial" w:eastAsia="Arial" w:hAnsi="Arial"/>
          <w:sz w:val="24"/>
          <w:szCs w:val="24"/>
        </w:rPr>
        <w:t xml:space="preserve">в абзаце четвертом слова «, и/или лицензия в сфере производства и оборота этилового спирта и алкогольной продукции» исключить;</w:t>
      </w:r>
    </w:p>
    <w:p>
      <w:pPr>
        <w:spacing w:after="120"/>
        <w:jc w:val="both"/>
      </w:pPr>
      <w:r>
        <w:rPr>
          <w:rFonts w:ascii="Arial" w:cs="Arial" w:eastAsia="Arial" w:hAnsi="Arial"/>
          <w:sz w:val="24"/>
          <w:szCs w:val="24"/>
        </w:rPr>
        <w:t xml:space="preserve">абзац тринадцатый признать утратившим силу;</w:t>
      </w:r>
    </w:p>
    <w:p>
      <w:pPr>
        <w:spacing w:after="120"/>
        <w:jc w:val="both"/>
      </w:pPr>
      <w:r>
        <w:rPr>
          <w:rFonts w:ascii="Arial" w:cs="Arial" w:eastAsia="Arial" w:hAnsi="Arial"/>
          <w:sz w:val="24"/>
          <w:szCs w:val="24"/>
        </w:rPr>
        <w:t xml:space="preserve">– абзац четырнадцатый пункта 18 признать утратившим силу;</w:t>
      </w:r>
    </w:p>
    <w:p>
      <w:pPr>
        <w:spacing w:after="120"/>
        <w:jc w:val="both"/>
      </w:pPr>
      <w:r>
        <w:rPr>
          <w:rFonts w:ascii="Arial" w:cs="Arial" w:eastAsia="Arial" w:hAnsi="Arial"/>
          <w:sz w:val="24"/>
          <w:szCs w:val="24"/>
        </w:rPr>
        <w:t xml:space="preserve">– </w:t>
      </w:r>
      <w:hyperlink w:history="1" r:id="rIds70_u3cqvsmxswq37nmp6">
        <w:r>
          <w:rPr>
            <w:rFonts w:ascii="Arial" w:cs="Arial" w:eastAsia="Arial" w:hAnsi="Arial"/>
            <w:color w:val="1D4ED8"/>
            <w:sz w:val="24"/>
            <w:szCs w:val="24"/>
            <w:u w:val="single"/>
          </w:rPr>
          <w:t xml:space="preserve">пункты</w:t>
        </w:r>
      </w:hyperlink>
      <w:r>
        <w:rPr>
          <w:rFonts w:ascii="Arial" w:cs="Arial" w:eastAsia="Arial" w:hAnsi="Arial"/>
          <w:sz w:val="24"/>
          <w:szCs w:val="24"/>
        </w:rPr>
        <w:t xml:space="preserve"> 34-36 признать утратившими силу;</w:t>
      </w:r>
    </w:p>
    <w:p>
      <w:pPr>
        <w:spacing w:after="120"/>
        <w:jc w:val="both"/>
      </w:pPr>
      <w:r>
        <w:rPr>
          <w:rFonts w:ascii="Arial" w:cs="Arial" w:eastAsia="Arial" w:hAnsi="Arial"/>
          <w:sz w:val="24"/>
          <w:szCs w:val="24"/>
        </w:rPr>
        <w:t xml:space="preserve">2) в </w:t>
      </w:r>
      <w:hyperlink w:history="1" r:id="rIdktwygawuopgqx9mzveeg-">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установления налогового поста, утвержденном вышеуказанным </w:t>
      </w:r>
      <w:hyperlink w:history="1" r:id="rIdzinzgoa1g5kmw3ofeqy2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1 </w:t>
      </w:r>
      <w:hyperlink w:history="1" r:id="rIdk8gvpfyt9upvwllalkmcd">
        <w:r>
          <w:rPr>
            <w:rFonts w:ascii="Arial" w:cs="Arial" w:eastAsia="Arial" w:hAnsi="Arial"/>
            <w:color w:val="1D4ED8"/>
            <w:sz w:val="24"/>
            <w:szCs w:val="24"/>
            <w:u w:val="single"/>
          </w:rPr>
          <w:t xml:space="preserve">пункта 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производящего подакцизный товар в соответствии с пунктами 10-13 настоящего Порядка:</w:t>
      </w:r>
    </w:p>
    <w:p>
      <w:pPr>
        <w:spacing w:after="120"/>
        <w:jc w:val="both"/>
      </w:pPr>
      <w:r>
        <w:rPr>
          <w:rFonts w:ascii="Arial" w:cs="Arial" w:eastAsia="Arial" w:hAnsi="Arial"/>
          <w:sz w:val="24"/>
          <w:szCs w:val="24"/>
        </w:rPr>
        <w:t xml:space="preserve">- на постоянной основе, производящего горюче-смазочные материалы, являющиеся подакцизными товарами;</w:t>
      </w:r>
    </w:p>
    <w:p>
      <w:pPr>
        <w:spacing w:after="120"/>
        <w:jc w:val="both"/>
      </w:pPr>
      <w:r>
        <w:rPr>
          <w:rFonts w:ascii="Arial" w:cs="Arial" w:eastAsia="Arial" w:hAnsi="Arial"/>
          <w:sz w:val="24"/>
          <w:szCs w:val="24"/>
        </w:rPr>
        <w:t xml:space="preserve">- производящего подакцизные товары, за исключением горюче-смазочных материалов:</w:t>
      </w:r>
    </w:p>
    <w:p>
      <w:pPr>
        <w:spacing w:after="120"/>
        <w:jc w:val="both"/>
      </w:pPr>
      <w:r>
        <w:rPr>
          <w:rFonts w:ascii="Arial" w:cs="Arial" w:eastAsia="Arial" w:hAnsi="Arial"/>
          <w:sz w:val="24"/>
          <w:szCs w:val="24"/>
        </w:rPr>
        <w:t xml:space="preserve">до полного определения учета оборота товаров и денежных средств, при наличии факторов риска неуплаты налогов, установленных уполномоченным налоговым органом, включая снижение объемов оборота и сумм уплачиваемых налогов;</w:t>
      </w:r>
    </w:p>
    <w:p>
      <w:pPr>
        <w:spacing w:after="120"/>
        <w:jc w:val="both"/>
      </w:pPr>
      <w:r>
        <w:rPr>
          <w:rFonts w:ascii="Arial" w:cs="Arial" w:eastAsia="Arial" w:hAnsi="Arial"/>
          <w:sz w:val="24"/>
          <w:szCs w:val="24"/>
        </w:rPr>
        <w:t xml:space="preserve">на постоянной основе по перечню, определяемому уполномоченным налоговым органом;»;</w:t>
      </w:r>
    </w:p>
    <w:p>
      <w:pPr>
        <w:spacing w:after="120"/>
        <w:jc w:val="both"/>
      </w:pPr>
      <w:r>
        <w:rPr>
          <w:rFonts w:ascii="Arial" w:cs="Arial" w:eastAsia="Arial" w:hAnsi="Arial"/>
          <w:sz w:val="24"/>
          <w:szCs w:val="24"/>
        </w:rPr>
        <w:t xml:space="preserve">– </w:t>
      </w:r>
      <w:hyperlink w:history="1" r:id="rId-b-nnaar_k_kz-djpbasz">
        <w:r>
          <w:rPr>
            <w:rFonts w:ascii="Arial" w:cs="Arial" w:eastAsia="Arial" w:hAnsi="Arial"/>
            <w:color w:val="1D4ED8"/>
            <w:sz w:val="24"/>
            <w:szCs w:val="24"/>
            <w:u w:val="single"/>
          </w:rPr>
          <w:t xml:space="preserve">пункт 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«4. Перечень субъектов, у которых устанавливается налоговый пост, утверждается приказом органа налоговой службы по месту налоговой (учетной) регистрации субъекта, за исключением субъектов, осуществляющих производство подакцизной продукции, кроме горюче-смазочных материалов.</w:t>
      </w:r>
    </w:p>
    <w:p>
      <w:pPr>
        <w:spacing w:after="120"/>
        <w:jc w:val="both"/>
      </w:pPr>
      <w:r>
        <w:rPr>
          <w:rFonts w:ascii="Arial" w:cs="Arial" w:eastAsia="Arial" w:hAnsi="Arial"/>
          <w:sz w:val="24"/>
          <w:szCs w:val="24"/>
        </w:rPr>
        <w:t xml:space="preserve">Перечень субъектов, производящих подакцизную продукцию, кроме горюче-смазочных материалов, у которых устанавливается налоговый пост, утверждается приказом уполномоченного налогового органа.».</w:t>
      </w:r>
    </w:p>
    <w:p>
      <w:pPr>
        <w:spacing w:after="120"/>
        <w:jc w:val="both"/>
      </w:pPr>
      <w:r>
        <w:rPr>
          <w:rFonts w:ascii="Arial" w:cs="Arial" w:eastAsia="Arial" w:hAnsi="Arial"/>
          <w:sz w:val="24"/>
          <w:szCs w:val="24"/>
        </w:rPr>
        <w:t xml:space="preserve">3. Государственной налоговой службе при Министерстве финансов Кыргызской Республики провести работу по обеспечению участия всех субъектов предпринимательства в проведении пилотных проектов по цифровому администрированию акцизного налога и маркировки пивной продукции средствами идентификации.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1 января 2023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Председателя</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z0ooh-uhj5z28hki_equ">
      <w:r>
        <w:rPr>
          <w:rFonts w:ascii="Arial" w:cs="Arial" w:eastAsia="Arial" w:hAnsi="Arial"/>
          <w:color w:val="132D3F"/>
          <w:sz w:val="16"/>
          <w:szCs w:val="16"/>
          <w:u w:val="single"/>
        </w:rPr>
        <w:t xml:space="preserve">dalil.kg/document/159962</w:t>
      </w:r>
    </w:hyperlink>
  </w:p>
  <w:p>
    <w:pPr>
      <w:spacing w:after="0" w:before="40"/>
      <w:jc w:val="center"/>
    </w:pPr>
    <w:hyperlink w:history="1" r:id="rIdbifpz6c_zftkjw3kbzn4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9y8oekn5zqpdrg2i0ypt" Type="http://schemas.openxmlformats.org/officeDocument/2006/relationships/hyperlink" Target="https://dalil.kg/document/112340#st_336" TargetMode="External"/><Relationship Id="rIdvv-umbasxafwvtda6-cec" Type="http://schemas.openxmlformats.org/officeDocument/2006/relationships/hyperlink" Target="https://dalil.kg/document/112340#st_345" TargetMode="External"/><Relationship Id="rIdqv1naozgtosezxue530dw" Type="http://schemas.openxmlformats.org/officeDocument/2006/relationships/hyperlink" Target="https://dalil.kg/document/112301#st_13" TargetMode="External"/><Relationship Id="rIdajc4cswnwy7do7f8vpjjb" Type="http://schemas.openxmlformats.org/officeDocument/2006/relationships/hyperlink" Target="https://dalil.kg/document/112301#st_17" TargetMode="External"/><Relationship Id="rIdxo0f9q8_o2-ghu1lwbtav" Type="http://schemas.openxmlformats.org/officeDocument/2006/relationships/hyperlink" Target="https://dalil.kg/document/159100" TargetMode="External"/><Relationship Id="rIdwsy4v9ddsygb6kwtgthhv" Type="http://schemas.openxmlformats.org/officeDocument/2006/relationships/hyperlink" Target="https://dalil.kg/document/159100#p3" TargetMode="External"/><Relationship Id="rIdaumdbohb7-wpypf-g07uo" Type="http://schemas.openxmlformats.org/officeDocument/2006/relationships/hyperlink" Target="https://dalil.kg/document/159962#st_334" TargetMode="External"/><Relationship Id="rIdqaqvcsp0uqx-l6qggcjo0" Type="http://schemas.openxmlformats.org/officeDocument/2006/relationships/hyperlink" Target="https://dalil.kg/document/159100#p4" TargetMode="External"/><Relationship Id="rId-5-n-m-p1jdkhi1rqnfi7" Type="http://schemas.openxmlformats.org/officeDocument/2006/relationships/hyperlink" Target="https://dalil.kg/document/159100#p5" TargetMode="External"/><Relationship Id="rIdqmzi1sxjdiyual1jmzdoe" Type="http://schemas.openxmlformats.org/officeDocument/2006/relationships/hyperlink" Target="https://dalil.kg/document/430908" TargetMode="External"/><Relationship Id="rIdozh5j1yrtcopotfhkudji" Type="http://schemas.openxmlformats.org/officeDocument/2006/relationships/hyperlink" Target="https://dalil.kg/document/159100" TargetMode="External"/><Relationship Id="rIdl-w30h1u5bzsjflzn7qur" Type="http://schemas.openxmlformats.org/officeDocument/2006/relationships/hyperlink" Target="https://dalil.kg/document/430908#p38" TargetMode="External"/><Relationship Id="rIdaccybyyfgwhmtzbdppliv" Type="http://schemas.openxmlformats.org/officeDocument/2006/relationships/hyperlink" Target="https://dalil.kg/document/159100" TargetMode="External"/><Relationship Id="rIdbncqwnitrx8-3o7g_bppi" Type="http://schemas.openxmlformats.org/officeDocument/2006/relationships/hyperlink" Target="https://dalil.kg/document/159100" TargetMode="External"/><Relationship Id="rIdpcgvgo83id0-smdcykuzp" Type="http://schemas.openxmlformats.org/officeDocument/2006/relationships/hyperlink" Target="https://dalil.kg/document/159100#p_p2" TargetMode="External"/><Relationship Id="rIdupunqyo-m6zfxazc24tpp" Type="http://schemas.openxmlformats.org/officeDocument/2006/relationships/hyperlink" Target="https://dalil.kg/document/159100#p_p5" TargetMode="External"/><Relationship Id="rIdti6gpoychtzypfanvs8z-" Type="http://schemas.openxmlformats.org/officeDocument/2006/relationships/hyperlink" Target="https://dalil.kg/document/159100#p_p6" TargetMode="External"/><Relationship Id="rIdfvgdg0s6ycrdfgnmfd0mx" Type="http://schemas.openxmlformats.org/officeDocument/2006/relationships/hyperlink" Target="https://dalil.kg/document/159100#p_p7" TargetMode="External"/><Relationship Id="rIdc_vrv0pydwqoqmvet6mu3" Type="http://schemas.openxmlformats.org/officeDocument/2006/relationships/hyperlink" Target="https://dalil.kg/document/159100#p_p12" TargetMode="External"/><Relationship Id="rIdubd_jp5gdktakeif3phjy" Type="http://schemas.openxmlformats.org/officeDocument/2006/relationships/hyperlink" Target="https://dalil.kg/document/159100#p_p13" TargetMode="External"/><Relationship Id="rIdrp_fmhnpno8quy2juhpmh" Type="http://schemas.openxmlformats.org/officeDocument/2006/relationships/hyperlink" Target="https://dalil.kg/document/159100#p_p14" TargetMode="External"/><Relationship Id="rIdn-eysfbis9raqtjbxt4ck" Type="http://schemas.openxmlformats.org/officeDocument/2006/relationships/hyperlink" Target="https://dalil.kg/document/159100#p_p16" TargetMode="External"/><Relationship Id="rIdh9yow2atxzuml0kt3kog3" Type="http://schemas.openxmlformats.org/officeDocument/2006/relationships/hyperlink" Target="https://dalil.kg/document/159100#p_p18" TargetMode="External"/><Relationship Id="rIdo-trhsgk-8bfwis0k1-jk" Type="http://schemas.openxmlformats.org/officeDocument/2006/relationships/hyperlink" Target="https://dalil.kg/document/159100#pr3" TargetMode="External"/><Relationship Id="rIdtuxdlgqpzv9hqnis0skei" Type="http://schemas.openxmlformats.org/officeDocument/2006/relationships/hyperlink" Target="https://dalil.kg/document/159100" TargetMode="External"/><Relationship Id="rIdfj4akxq39eixowyy0wtfe" Type="http://schemas.openxmlformats.org/officeDocument/2006/relationships/hyperlink" Target="https://dalil.kg/document/159028" TargetMode="External"/><Relationship Id="rIdkabwdcncxdx-3zk5ckord" Type="http://schemas.openxmlformats.org/officeDocument/2006/relationships/hyperlink" Target="https://dalil.kg/document/159029" TargetMode="External"/><Relationship Id="rIdujhj7dvjpsomgm-x0n1fc" Type="http://schemas.openxmlformats.org/officeDocument/2006/relationships/hyperlink" Target="https://dalil.kg/document/159029#p1" TargetMode="External"/><Relationship Id="rId3lr9i3bozii_mui1ns5m2" Type="http://schemas.openxmlformats.org/officeDocument/2006/relationships/hyperlink" Target="https://dalil.kg/document/159029#p2" TargetMode="External"/><Relationship Id="rIds70_u3cqvsmxswq37nmp6" Type="http://schemas.openxmlformats.org/officeDocument/2006/relationships/hyperlink" Target="https://dalil.kg/document/159029#p34" TargetMode="External"/><Relationship Id="rIdktwygawuopgqx9mzveeg-" Type="http://schemas.openxmlformats.org/officeDocument/2006/relationships/hyperlink" Target="https://dalil.kg/document/159031" TargetMode="External"/><Relationship Id="rIdzinzgoa1g5kmw3ofeqy2b" Type="http://schemas.openxmlformats.org/officeDocument/2006/relationships/hyperlink" Target="https://dalil.kg/document/159028" TargetMode="External"/><Relationship Id="rIdk8gvpfyt9upvwllalkmcd" Type="http://schemas.openxmlformats.org/officeDocument/2006/relationships/hyperlink" Target="https://dalil.kg/document/159031#p2" TargetMode="External"/><Relationship Id="rId-b-nnaar_k_kz-djpbasz" Type="http://schemas.openxmlformats.org/officeDocument/2006/relationships/hyperlink" Target="https://dalil.kg/document/159031#p4"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z0ooh-uhj5z28hki_equ" Type="http://schemas.openxmlformats.org/officeDocument/2006/relationships/hyperlink" Target="https://dalil.kg/document/159962" TargetMode="External"/><Relationship Id="rIdbifpz6c_zftkjw3kbzn4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2026-09-25T03:19:32.029Z</dcterms:created>
  <dcterms:modified xsi:type="dcterms:W3CDTF">2026-09-25T03:19:32.029Z</dcterms:modified>
</cp:coreProperties>
</file>

<file path=docProps/custom.xml><?xml version="1.0" encoding="utf-8"?>
<Properties xmlns="http://schemas.openxmlformats.org/officeDocument/2006/custom-properties" xmlns:vt="http://schemas.openxmlformats.org/officeDocument/2006/docPropsVTypes"/>
</file>