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zbogptehkd2iekttwhab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28 февраля 2023 года № 108)</w:t>
      </w:r>
    </w:p>
    <w:p>
      <w:pPr>
        <w:spacing w:after="400" w:before="400"/>
        <w:jc w:val="center"/>
      </w:pPr>
      <w:r>
        <w:rPr>
          <w:rFonts w:ascii="Arial" w:cs="Arial" w:eastAsia="Arial" w:hAnsi="Arial"/>
          <w:b/>
          <w:bCs/>
          <w:sz w:val="28"/>
          <w:szCs w:val="28"/>
        </w:rPr>
        <w:t xml:space="preserve">ПОЛОЖЕНИЕ
 о временных требованиях и порядке проведения оценки соответствия отдельных колесных транспортных средств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qaz6h_gurabuxjynlqutd">
        <w:r>
          <w:rPr>
            <w:rFonts w:ascii="Arial" w:cs="Arial" w:eastAsia="Arial" w:hAnsi="Arial"/>
            <w:i/>
            <w:iCs/>
            <w:color w:val="1D4ED8"/>
            <w:sz w:val="24"/>
            <w:szCs w:val="24"/>
            <w:u w:val="single"/>
          </w:rPr>
          <w:t xml:space="preserve">4 сентября 2023 года № 447</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Настоящим Положением определяются обязательные требования, применяемые в отношении отдельных колесных транспортных средств категорий L, М, N и О, а также шасси, произведенных в Кыргызской Республике, порядок применения этих обязательных требований, порядок проведения оценки соответствия таких транспортных средств в случае невозможности проведения оценки соответствия колесных транспортных средств (шасси) в соответствии с требованиями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Таможенного союза "О безопасности колесных транспортных средств" (ТР ТС 018/2011), утвержденного Решением Комиссии Таможенного союза от 9 декабря 2011 года № 877 (далее - Технический регламент).</w:t>
      </w:r>
    </w:p>
    <w:p>
      <w:pPr>
        <w:spacing w:after="60"/>
        <w:ind w:firstLine="567"/>
        <w:jc w:val="both"/>
      </w:pPr>
      <w:r>
        <w:rPr>
          <w:rFonts w:ascii="Arial" w:cs="Arial" w:eastAsia="Arial" w:hAnsi="Arial"/>
          <w:sz w:val="24"/>
          <w:szCs w:val="24"/>
        </w:rPr>
        <w:t xml:space="preserve">Настоящее Положение не распространяется на колесные транспортные средства, находящиеся в эксплуатации.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rm_sjs2ejynkbegcz3m1">
        <w:r>
          <w:rPr>
            <w:rFonts w:ascii="Arial" w:cs="Arial" w:eastAsia="Arial" w:hAnsi="Arial"/>
            <w:i/>
            <w:iCs/>
            <w:color w:val="1D4ED8"/>
            <w:sz w:val="24"/>
            <w:szCs w:val="24"/>
            <w:u w:val="single"/>
          </w:rPr>
          <w:t xml:space="preserve">4 сентября 2023 года № 447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Для целей настоящего Положения используются термины в значениях, установленных Техническим регламентом, а также следующие термины:</w:t>
      </w:r>
    </w:p>
    <w:p>
      <w:pPr>
        <w:spacing w:after="60"/>
        <w:ind w:firstLine="567"/>
        <w:jc w:val="both"/>
      </w:pPr>
      <w:r>
        <w:rPr>
          <w:rFonts w:ascii="Arial" w:cs="Arial" w:eastAsia="Arial" w:hAnsi="Arial"/>
          <w:b/>
          <w:bCs/>
          <w:sz w:val="24"/>
          <w:szCs w:val="24"/>
        </w:rPr>
        <w:t xml:space="preserve">испытательная лаборатория</w:t>
      </w:r>
      <w:r>
        <w:rPr>
          <w:rFonts w:ascii="Arial" w:cs="Arial" w:eastAsia="Arial" w:hAnsi="Arial"/>
          <w:sz w:val="24"/>
          <w:szCs w:val="24"/>
        </w:rPr>
        <w:t xml:space="preserve"> - лаборатория, аккредитованная в соответствии с международными стандартами ISO/IEC 17025 "Общие требования к компетентности испытательных и калибровочных лабораторий" и/или ISO/IEC 17020 "Оценка соответствия. Требования к работе различных типов органов инспекции" на право проведения оценки соответствия транспортных средств;</w:t>
      </w:r>
    </w:p>
    <w:p>
      <w:pPr>
        <w:spacing w:after="60"/>
        <w:ind w:firstLine="567"/>
        <w:jc w:val="both"/>
      </w:pPr>
      <w:r>
        <w:rPr>
          <w:rFonts w:ascii="Arial" w:cs="Arial" w:eastAsia="Arial" w:hAnsi="Arial"/>
          <w:b/>
          <w:bCs/>
          <w:sz w:val="24"/>
          <w:szCs w:val="24"/>
        </w:rPr>
        <w:t xml:space="preserve">единичное транспортное средство</w:t>
      </w:r>
      <w:r>
        <w:rPr>
          <w:rFonts w:ascii="Arial" w:cs="Arial" w:eastAsia="Arial" w:hAnsi="Arial"/>
          <w:sz w:val="24"/>
          <w:szCs w:val="24"/>
        </w:rPr>
        <w:t xml:space="preserve"> - колесное транспортное средство, изготовленное на территории Кыргызской Республики в условиях серийного производства, в конструкцию которого в индивидуальном порядке были внесены изменения до выпуска в обращение, или изготовленное вне серийного производства в индивидуальном порядке из сборочного комплекта, или являющееся результатом индивидуального технического творчества;</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изготовитель (его уполномоченный представитель), обратившийся с заявкой на проведение оценки соответствия типа транспортного средства, типа шасси или единичного транспортного средства;</w:t>
      </w:r>
    </w:p>
    <w:p>
      <w:pPr>
        <w:spacing w:after="60"/>
        <w:ind w:firstLine="567"/>
        <w:jc w:val="both"/>
      </w:pPr>
      <w:r>
        <w:rPr>
          <w:rFonts w:ascii="Arial" w:cs="Arial" w:eastAsia="Arial" w:hAnsi="Arial"/>
          <w:b/>
          <w:bCs/>
          <w:sz w:val="24"/>
          <w:szCs w:val="24"/>
        </w:rPr>
        <w:t xml:space="preserve">заключение</w:t>
      </w:r>
      <w:r>
        <w:rPr>
          <w:rFonts w:ascii="Arial" w:cs="Arial" w:eastAsia="Arial" w:hAnsi="Arial"/>
          <w:sz w:val="24"/>
          <w:szCs w:val="24"/>
        </w:rPr>
        <w:t xml:space="preserve"> - заключение об оценке типа транспортного средства (для колесного транспортного средства), и (или) заключение об оценке типа шасси (для шасси), и (или) заключение об оценке единичного транспортного средства (для единичного транспортного средства), которые являются документами об оценке соответствия, удостоверяющими соответствие выпускаемых в обращение транспортных средств (шасси) техническим требованиям, установленным настоящим Положением;</w:t>
      </w:r>
    </w:p>
    <w:p>
      <w:pPr>
        <w:spacing w:after="60"/>
        <w:ind w:firstLine="567"/>
        <w:jc w:val="both"/>
      </w:pPr>
      <w:r>
        <w:rPr>
          <w:rFonts w:ascii="Arial" w:cs="Arial" w:eastAsia="Arial" w:hAnsi="Arial"/>
          <w:b/>
          <w:bCs/>
          <w:sz w:val="24"/>
          <w:szCs w:val="24"/>
        </w:rPr>
        <w:t xml:space="preserve">изготовитель</w:t>
      </w:r>
      <w:r>
        <w:rPr>
          <w:rFonts w:ascii="Arial" w:cs="Arial" w:eastAsia="Arial" w:hAnsi="Arial"/>
          <w:sz w:val="24"/>
          <w:szCs w:val="24"/>
        </w:rPr>
        <w:t xml:space="preserve"> - юридическое лицо или индивидуальный предприниматель Кыргызской Республики, изготавливающие колесные транспортные средства категорий L, М, N, О и шасси, а также колесные транспортные средства с использованием базовых транспортных средств (шасси), прошедших оценку соответствия согласно настоящему Положению или требованиям Технического регламента;</w:t>
      </w:r>
    </w:p>
    <w:p>
      <w:pPr>
        <w:spacing w:after="60"/>
        <w:ind w:firstLine="567"/>
        <w:jc w:val="both"/>
      </w:pPr>
      <w:r>
        <w:rPr>
          <w:rFonts w:ascii="Arial" w:cs="Arial" w:eastAsia="Arial" w:hAnsi="Arial"/>
          <w:b/>
          <w:bCs/>
          <w:sz w:val="24"/>
          <w:szCs w:val="24"/>
        </w:rPr>
        <w:t xml:space="preserve">орган по сертификации</w:t>
      </w:r>
      <w:r>
        <w:rPr>
          <w:rFonts w:ascii="Arial" w:cs="Arial" w:eastAsia="Arial" w:hAnsi="Arial"/>
          <w:sz w:val="24"/>
          <w:szCs w:val="24"/>
        </w:rPr>
        <w:t xml:space="preserve"> - орган по сертификации, аккредитованный в Национальной системе аккредитации Кыргызской Республики на право проведения оценки соответствия транспортных средств требованиям Технического регламента и включенный в национальную часть Единого реестра органов по оценке соответствия Евразийского экономического союза, формируемого согласно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w:t>
      </w:r>
    </w:p>
    <w:p>
      <w:pPr>
        <w:spacing w:after="60"/>
        <w:ind w:firstLine="567"/>
        <w:jc w:val="both"/>
      </w:pPr>
      <w:r>
        <w:rPr>
          <w:rFonts w:ascii="Arial" w:cs="Arial" w:eastAsia="Arial" w:hAnsi="Arial"/>
          <w:b/>
          <w:bCs/>
          <w:sz w:val="24"/>
          <w:szCs w:val="24"/>
        </w:rPr>
        <w:t xml:space="preserve">транспортное средство (шасси)</w:t>
      </w:r>
      <w:r>
        <w:rPr>
          <w:rFonts w:ascii="Arial" w:cs="Arial" w:eastAsia="Arial" w:hAnsi="Arial"/>
          <w:sz w:val="24"/>
          <w:szCs w:val="24"/>
        </w:rPr>
        <w:t xml:space="preserve"> - колесное транспортное средство категорий L, М, N, О и шасси, являющиеся объектом технического регулирования Технического регламента, произведенные изготовителем, в том числе с использованием базовых транспортных средств (шасси), прошедших оценку соответствия согласно настоящему Положению или требованиям Технического регламента.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a1znrpepv3y7mlmxraqv">
        <w:r>
          <w:rPr>
            <w:rFonts w:ascii="Arial" w:cs="Arial" w:eastAsia="Arial" w:hAnsi="Arial"/>
            <w:i/>
            <w:iCs/>
            <w:color w:val="1D4ED8"/>
            <w:sz w:val="24"/>
            <w:szCs w:val="24"/>
            <w:u w:val="single"/>
          </w:rPr>
          <w:t xml:space="preserve">4 сентября 2023 года № 447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Транспортные средства (шасси) выпускаются в обращение и вправе находиться в эксплуатации на территории Кыргызской Республики при условии их соответствия техническим требованиям при оценке соответствия транспортных средств, указанным в перечне согласно </w:t>
      </w:r>
      <w:hyperlink w:history="1" r:id="rIdwctp3doslb1v5xlidpulf">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(далее - технические требования), что подтверждается заключением об оценке типа транспортного средства по форме согласно </w:t>
      </w:r>
      <w:hyperlink w:history="1" r:id="rIdrkbm5quqpe7zldwllg8kd">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и (или) заключением об оценке типа шасси по форме согласно </w:t>
      </w:r>
      <w:hyperlink w:history="1" r:id="rIdqdh-ch3rbbzy4daoizje3">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Единичные транспортные средства выпускаются в обращение и вправе находиться в эксплуатации на территории Кыргызской Республики при условии их соответствия требованиям, предусмотренным в разделах 1-4 </w:t>
      </w:r>
      <w:r>
        <w:rPr>
          <w:rFonts w:ascii="Arial" w:cs="Arial" w:eastAsia="Arial" w:hAnsi="Arial"/>
          <w:sz w:val="24"/>
          <w:szCs w:val="24"/>
        </w:rPr>
        <w:t xml:space="preserve">приложения № 4</w:t>
      </w:r>
      <w:r>
        <w:rPr>
          <w:rFonts w:ascii="Arial" w:cs="Arial" w:eastAsia="Arial" w:hAnsi="Arial"/>
          <w:sz w:val="24"/>
          <w:szCs w:val="24"/>
        </w:rPr>
        <w:t xml:space="preserve"> к Техническому регламенту, что подтверждается заключением об оценке единичного транспортного средства по форме согласно </w:t>
      </w:r>
      <w:hyperlink w:history="1" r:id="rId0m6xs-rdilx9h9lpwar7z">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Транспортные средства (шасси), произведенные в Российской Федерации и Республики Беларусь, в соответствии с их национальными требованиями, установленными в отношении колесных транспортных средств на основании Решения Совета Евразийской экономической комиссии от 5 апреля 2022 г. № 45, могут регистрироваться и находиться в эксплуатации на территории Кыргызской Республики.</w:t>
      </w:r>
    </w:p>
    <w:p>
      <w:pPr>
        <w:spacing w:after="60"/>
        <w:ind w:firstLine="567"/>
        <w:jc w:val="both"/>
      </w:pPr>
      <w:r>
        <w:rPr>
          <w:rFonts w:ascii="Arial" w:cs="Arial" w:eastAsia="Arial" w:hAnsi="Arial"/>
          <w:sz w:val="24"/>
          <w:szCs w:val="24"/>
        </w:rPr>
        <w:t xml:space="preserve">4. В отношении типов транспортных средств (шасси), прошедших оценку соответствия требованиям Технического регламента, не требуется проведения оценки соответствия согласно настоящему Положению.</w:t>
      </w:r>
    </w:p>
    <w:p>
      <w:pPr>
        <w:spacing w:after="60"/>
        <w:ind w:firstLine="567"/>
        <w:jc w:val="both"/>
      </w:pPr>
      <w:r>
        <w:rPr>
          <w:rFonts w:ascii="Arial" w:cs="Arial" w:eastAsia="Arial" w:hAnsi="Arial"/>
          <w:sz w:val="24"/>
          <w:szCs w:val="24"/>
        </w:rPr>
        <w:t xml:space="preserve">5. Электронный паспорт транспортного средства (шасси) оформляется на основании заключений об оценке типа транспортного средства, типа шасси и (или) единичного транспортного средства, номера которых указываются в электронных паспортах транспортного средства и (или) шасси.</w:t>
      </w:r>
    </w:p>
    <w:p>
      <w:pPr>
        <w:spacing w:after="60"/>
        <w:ind w:firstLine="567"/>
        <w:jc w:val="both"/>
      </w:pPr>
      <w:r>
        <w:rPr>
          <w:rFonts w:ascii="Arial" w:cs="Arial" w:eastAsia="Arial" w:hAnsi="Arial"/>
          <w:sz w:val="24"/>
          <w:szCs w:val="24"/>
        </w:rPr>
        <w:t xml:space="preserve">6. Оформление заключений об оценке типа транспортного средства, типа шасси и (или) единичного транспортного средства осуществляется на бумажных носителях без использования специальных средств защиты от подделки или в электронном виде с присвоением номеров в соответствии со структурой номеров документов, удостоверяющих соответствие настоящему Положению, согласно </w:t>
      </w:r>
      <w:hyperlink w:history="1" r:id="rIdxnmdqb8requ-vbtnusvif">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Учет выданных заключений осуществляется Центром по стандартизации и метрологии при Министерстве экономики и коммерции Кыргызской Республики (далее - ЦСМ).</w:t>
      </w:r>
    </w:p>
    <w:p>
      <w:pPr>
        <w:spacing w:after="60"/>
        <w:ind w:firstLine="567"/>
        <w:jc w:val="both"/>
      </w:pPr>
      <w:r>
        <w:rPr>
          <w:rFonts w:ascii="Arial" w:cs="Arial" w:eastAsia="Arial" w:hAnsi="Arial"/>
          <w:sz w:val="24"/>
          <w:szCs w:val="24"/>
        </w:rPr>
        <w:t xml:space="preserve">7. В качестве документов, подтверждающих соответствие типа транспортного средства (шасси) техническим требованиям, признаются:</w:t>
      </w:r>
    </w:p>
    <w:p>
      <w:pPr>
        <w:spacing w:after="60"/>
        <w:ind w:firstLine="567"/>
        <w:jc w:val="both"/>
      </w:pPr>
      <w:r>
        <w:rPr>
          <w:rFonts w:ascii="Arial" w:cs="Arial" w:eastAsia="Arial" w:hAnsi="Arial"/>
          <w:sz w:val="24"/>
          <w:szCs w:val="24"/>
        </w:rPr>
        <w:t xml:space="preserve">сообщения об официальном утверждении типа, выданные административными органами стран - участниц Соглашения о принятии единообразных технических предписаний для колесных транспортных средств, предметов оборудования и частей, которые могут быть установлены и (или) использованы на колесных транспортных средствах, и об условиях взаимного признания официальных утверждений, выдаваемых на основе этих предписаний, заключенного 20 марта 1958 года в г.Женеве;</w:t>
      </w:r>
    </w:p>
    <w:p>
      <w:pPr>
        <w:spacing w:after="60"/>
        <w:ind w:firstLine="567"/>
        <w:jc w:val="both"/>
      </w:pPr>
      <w:r>
        <w:rPr>
          <w:rFonts w:ascii="Arial" w:cs="Arial" w:eastAsia="Arial" w:hAnsi="Arial"/>
          <w:sz w:val="24"/>
          <w:szCs w:val="24"/>
        </w:rPr>
        <w:t xml:space="preserve">действующие сертификаты соответствия, декларации о соответствии, оформленные на основании протоколов испытаний, выданные в рамках Технического регламента;</w:t>
      </w:r>
    </w:p>
    <w:p>
      <w:pPr>
        <w:spacing w:after="60"/>
        <w:ind w:firstLine="567"/>
        <w:jc w:val="both"/>
      </w:pPr>
      <w:r>
        <w:rPr>
          <w:rFonts w:ascii="Arial" w:cs="Arial" w:eastAsia="Arial" w:hAnsi="Arial"/>
          <w:sz w:val="24"/>
          <w:szCs w:val="24"/>
        </w:rPr>
        <w:t xml:space="preserve">протоколы испытаний, проведенных аккредитованной испытательной лабораторией или изготовителем (допускается проведение испытаний на оборудовании изготовителя, либо в присутствии представителя органа по сертификации, в том числе с использованием средств дистанционного взаимодействия, либо с видео фиксацией процесса проведения испытаний с контролем геопозиции места проведения испытаний, при этом запись процесса проведения испытаний направляется в орган по сертификации для анализа и подготовки протокола испытаний). Результаты испытаний, проведенных изготовителем самостоятельно, принимаются только при оценке соответствия малых партий транспортных средств (шасси);</w:t>
      </w:r>
    </w:p>
    <w:p>
      <w:pPr>
        <w:spacing w:after="60"/>
        <w:ind w:firstLine="567"/>
        <w:jc w:val="both"/>
      </w:pPr>
      <w:r>
        <w:rPr>
          <w:rFonts w:ascii="Arial" w:cs="Arial" w:eastAsia="Arial" w:hAnsi="Arial"/>
          <w:sz w:val="24"/>
          <w:szCs w:val="24"/>
        </w:rPr>
        <w:t xml:space="preserve">декларации о соответствии, зарегистрированные в соответствии с положениями Технического регламента (принятые по схеме 7д - только при оценке соответствия малых партий транспортных средств (шасси), кроме категорий М2 и М3;</w:t>
      </w:r>
    </w:p>
    <w:p>
      <w:pPr>
        <w:spacing w:after="60"/>
        <w:ind w:firstLine="567"/>
        <w:jc w:val="both"/>
      </w:pPr>
      <w:r>
        <w:rPr>
          <w:rFonts w:ascii="Arial" w:cs="Arial" w:eastAsia="Arial" w:hAnsi="Arial"/>
          <w:sz w:val="24"/>
          <w:szCs w:val="24"/>
        </w:rPr>
        <w:t xml:space="preserve">декларации о соответствии, оформленные на основании протоколов испытаний транспортного средства (шасси) - аналогов, изготовленных в условиях другого производства (допускается при промышленной сборке).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m0fahmig3knkyep9g_-p">
        <w:r>
          <w:rPr>
            <w:rFonts w:ascii="Arial" w:cs="Arial" w:eastAsia="Arial" w:hAnsi="Arial"/>
            <w:i/>
            <w:iCs/>
            <w:color w:val="1D4ED8"/>
            <w:sz w:val="24"/>
            <w:szCs w:val="24"/>
            <w:u w:val="single"/>
          </w:rPr>
          <w:t xml:space="preserve">4 сентября 2023 года № 447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В качестве подтверждающих документов в отношении компонентов транспортных средств, оценка соответствия которых проводится по требованиям Правил Организации Объединенных Наций (далее - ООН), признаются сообщения об официальном утверждении типа и (или) сертификаты соответствия, выданные в рамках требований Технического регламента.</w:t>
      </w:r>
    </w:p>
    <w:p>
      <w:pPr>
        <w:spacing w:after="200" w:before="200"/>
        <w:jc w:val="center"/>
      </w:pPr>
      <w:r>
        <w:rPr>
          <w:rFonts w:ascii="Arial" w:cs="Arial" w:eastAsia="Arial" w:hAnsi="Arial"/>
          <w:b/>
          <w:bCs/>
          <w:sz w:val="24"/>
          <w:szCs w:val="24"/>
        </w:rPr>
        <w:t xml:space="preserve">2. Порядок проведения оценки соответствия типа транспортного средства и типа шасси</w:t>
      </w:r>
    </w:p>
    <w:p>
      <w:pPr>
        <w:spacing w:after="60"/>
        <w:ind w:firstLine="567"/>
        <w:jc w:val="both"/>
      </w:pPr>
      <w:r>
        <w:rPr>
          <w:rFonts w:ascii="Arial" w:cs="Arial" w:eastAsia="Arial" w:hAnsi="Arial"/>
          <w:sz w:val="24"/>
          <w:szCs w:val="24"/>
        </w:rPr>
        <w:t xml:space="preserve">1. Оценка соответствия типа транспортного средства и типа шасси проводится органом по сертификации в следующем порядке:</w:t>
      </w:r>
    </w:p>
    <w:p>
      <w:pPr>
        <w:spacing w:after="60"/>
        <w:ind w:firstLine="567"/>
        <w:jc w:val="both"/>
      </w:pPr>
      <w:r>
        <w:rPr>
          <w:rFonts w:ascii="Arial" w:cs="Arial" w:eastAsia="Arial" w:hAnsi="Arial"/>
          <w:sz w:val="24"/>
          <w:szCs w:val="24"/>
        </w:rPr>
        <w:t xml:space="preserve">1) заявитель подает в орган по сертификации заявку, в которой указываются наименование заявителя, адрес его места нахождения, номера телефонов, адрес электронной почты, банковские реквизиты, тип транспортного средства или тип шасси, сведения о ранее выданных одобрениях типа транспортного средства или типа шасси с приложением документов, указанных в разделах 1 и 2 </w:t>
      </w:r>
      <w:r>
        <w:rPr>
          <w:rFonts w:ascii="Arial" w:cs="Arial" w:eastAsia="Arial" w:hAnsi="Arial"/>
          <w:sz w:val="24"/>
          <w:szCs w:val="24"/>
        </w:rPr>
        <w:t xml:space="preserve">приложения № 12</w:t>
      </w:r>
      <w:r>
        <w:rPr>
          <w:rFonts w:ascii="Arial" w:cs="Arial" w:eastAsia="Arial" w:hAnsi="Arial"/>
          <w:sz w:val="24"/>
          <w:szCs w:val="24"/>
        </w:rPr>
        <w:t xml:space="preserve"> к Техническому регламенту;</w:t>
      </w:r>
    </w:p>
    <w:p>
      <w:pPr>
        <w:spacing w:after="60"/>
        <w:ind w:firstLine="567"/>
        <w:jc w:val="both"/>
      </w:pPr>
      <w:r>
        <w:rPr>
          <w:rFonts w:ascii="Arial" w:cs="Arial" w:eastAsia="Arial" w:hAnsi="Arial"/>
          <w:sz w:val="24"/>
          <w:szCs w:val="24"/>
        </w:rPr>
        <w:t xml:space="preserve">2) орган по сертификации:</w:t>
      </w:r>
    </w:p>
    <w:p>
      <w:pPr>
        <w:spacing w:after="60"/>
        <w:ind w:firstLine="567"/>
        <w:jc w:val="both"/>
      </w:pPr>
      <w:r>
        <w:rPr>
          <w:rFonts w:ascii="Arial" w:cs="Arial" w:eastAsia="Arial" w:hAnsi="Arial"/>
          <w:sz w:val="24"/>
          <w:szCs w:val="24"/>
        </w:rPr>
        <w:t xml:space="preserve">в течение трех рабочих дней со дня поступления заявки, указанной в подпункте 1 настоящего пункта, рассматривает ее и принимает предварительное решение по представленным документам;</w:t>
      </w:r>
    </w:p>
    <w:p>
      <w:pPr>
        <w:spacing w:after="60"/>
        <w:ind w:firstLine="567"/>
        <w:jc w:val="both"/>
      </w:pPr>
      <w:r>
        <w:rPr>
          <w:rFonts w:ascii="Arial" w:cs="Arial" w:eastAsia="Arial" w:hAnsi="Arial"/>
          <w:sz w:val="24"/>
          <w:szCs w:val="24"/>
        </w:rPr>
        <w:t xml:space="preserve">заключает с заявителем договор на выполнение работ по оценке соответствия;</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dbff-z40kvrthdophbzd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сентября 2023 года № 447)</w:t>
      </w:r>
    </w:p>
    <w:p>
      <w:pPr>
        <w:spacing w:after="60"/>
        <w:ind w:firstLine="567"/>
        <w:jc w:val="both"/>
      </w:pPr>
      <w:r>
        <w:rPr>
          <w:rFonts w:ascii="Arial" w:cs="Arial" w:eastAsia="Arial" w:hAnsi="Arial"/>
          <w:sz w:val="24"/>
          <w:szCs w:val="24"/>
        </w:rPr>
        <w:t xml:space="preserve">проводит анализ документов, полученных по результатам проведенных работ;</w:t>
      </w:r>
    </w:p>
    <w:p>
      <w:pPr>
        <w:spacing w:after="60"/>
        <w:ind w:firstLine="567"/>
        <w:jc w:val="both"/>
      </w:pPr>
      <w:r>
        <w:rPr>
          <w:rFonts w:ascii="Arial" w:cs="Arial" w:eastAsia="Arial" w:hAnsi="Arial"/>
          <w:sz w:val="24"/>
          <w:szCs w:val="24"/>
        </w:rPr>
        <w:t xml:space="preserve">подготавливает решение о возможности оформления заключения об оценке типа транспортного средства или типа шасси;</w:t>
      </w:r>
    </w:p>
    <w:p>
      <w:pPr>
        <w:spacing w:after="60"/>
        <w:ind w:firstLine="567"/>
        <w:jc w:val="both"/>
      </w:pPr>
      <w:r>
        <w:rPr>
          <w:rFonts w:ascii="Arial" w:cs="Arial" w:eastAsia="Arial" w:hAnsi="Arial"/>
          <w:sz w:val="24"/>
          <w:szCs w:val="24"/>
        </w:rPr>
        <w:t xml:space="preserve">оформляет заключения об оценке типа транспортного средства или типа шасси по формам, представленным соответственно в приложениях </w:t>
      </w:r>
      <w:hyperlink w:history="1" r:id="rIduez448rgvfj5totngyjjz">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6muaxhpdkepvk4_6wiaur">
        <w:r>
          <w:rPr>
            <w:rFonts w:ascii="Arial" w:cs="Arial" w:eastAsia="Arial" w:hAnsi="Arial"/>
            <w:color w:val="1D4ED8"/>
            <w:sz w:val="24"/>
            <w:szCs w:val="24"/>
            <w:u w:val="single"/>
          </w:rPr>
          <w:t xml:space="preserve">3</w:t>
        </w:r>
      </w:hyperlink>
      <w:r>
        <w:rPr>
          <w:rFonts w:ascii="Arial" w:cs="Arial" w:eastAsia="Arial" w:hAnsi="Arial"/>
          <w:sz w:val="24"/>
          <w:szCs w:val="24"/>
        </w:rPr>
        <w:t xml:space="preserve">, присваивает им регистрационные номера в соответствии с </w:t>
      </w:r>
      <w:hyperlink w:history="1" r:id="rIdcz9wmu7qqe0jehcmpnerz">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направляет заключения об оценке типа транспортного средства или типа шасси в ЦСМ на утверждение;</w:t>
      </w:r>
    </w:p>
    <w:p>
      <w:pPr>
        <w:spacing w:after="60"/>
        <w:ind w:firstLine="567"/>
        <w:jc w:val="both"/>
      </w:pPr>
      <w:r>
        <w:rPr>
          <w:rFonts w:ascii="Arial" w:cs="Arial" w:eastAsia="Arial" w:hAnsi="Arial"/>
          <w:sz w:val="24"/>
          <w:szCs w:val="24"/>
        </w:rPr>
        <w:t xml:space="preserve">хранит документацию, имеющую отношение к проверке выполнения технических требований, не менее 10 лет;</w:t>
      </w:r>
    </w:p>
    <w:p>
      <w:pPr>
        <w:spacing w:after="60"/>
        <w:ind w:firstLine="567"/>
        <w:jc w:val="both"/>
      </w:pPr>
      <w:r>
        <w:rPr>
          <w:rFonts w:ascii="Arial" w:cs="Arial" w:eastAsia="Arial" w:hAnsi="Arial"/>
          <w:sz w:val="24"/>
          <w:szCs w:val="24"/>
        </w:rPr>
        <w:t xml:space="preserve">3) испытательная лаборатория:</w:t>
      </w:r>
    </w:p>
    <w:p>
      <w:pPr>
        <w:spacing w:after="60"/>
        <w:ind w:firstLine="567"/>
        <w:jc w:val="both"/>
      </w:pPr>
      <w:r>
        <w:rPr>
          <w:rFonts w:ascii="Arial" w:cs="Arial" w:eastAsia="Arial" w:hAnsi="Arial"/>
          <w:sz w:val="24"/>
          <w:szCs w:val="24"/>
        </w:rPr>
        <w:t xml:space="preserve">заключает с заявителем договор на выполнение работ по проведению испытаний;</w:t>
      </w:r>
    </w:p>
    <w:p>
      <w:pPr>
        <w:spacing w:after="60"/>
        <w:ind w:firstLine="567"/>
        <w:jc w:val="both"/>
      </w:pPr>
      <w:r>
        <w:rPr>
          <w:rFonts w:ascii="Arial" w:cs="Arial" w:eastAsia="Arial" w:hAnsi="Arial"/>
          <w:sz w:val="24"/>
          <w:szCs w:val="24"/>
        </w:rPr>
        <w:t xml:space="preserve">в течение пяти рабочих дней после завершения испытаний оформляет протоколы испытаний;</w:t>
      </w:r>
    </w:p>
    <w:p>
      <w:pPr>
        <w:spacing w:after="60"/>
        <w:ind w:firstLine="567"/>
        <w:jc w:val="both"/>
      </w:pPr>
      <w:r>
        <w:rPr>
          <w:rFonts w:ascii="Arial" w:cs="Arial" w:eastAsia="Arial" w:hAnsi="Arial"/>
          <w:sz w:val="24"/>
          <w:szCs w:val="24"/>
        </w:rPr>
        <w:t xml:space="preserve">4) ЦСМ в течение трех рабочих дней со дня получения заключений об оценке типа транспортного средства или типа шасси:</w:t>
      </w:r>
    </w:p>
    <w:p>
      <w:pPr>
        <w:spacing w:after="60"/>
        <w:ind w:firstLine="567"/>
        <w:jc w:val="both"/>
      </w:pPr>
      <w:r>
        <w:rPr>
          <w:rFonts w:ascii="Arial" w:cs="Arial" w:eastAsia="Arial" w:hAnsi="Arial"/>
          <w:sz w:val="24"/>
          <w:szCs w:val="24"/>
        </w:rPr>
        <w:t xml:space="preserve">утверждает данные заключения и возвращает их в орган по сертификации;</w:t>
      </w:r>
    </w:p>
    <w:p>
      <w:pPr>
        <w:spacing w:after="60"/>
        <w:ind w:firstLine="567"/>
        <w:jc w:val="both"/>
      </w:pPr>
      <w:r>
        <w:rPr>
          <w:rFonts w:ascii="Arial" w:cs="Arial" w:eastAsia="Arial" w:hAnsi="Arial"/>
          <w:sz w:val="24"/>
          <w:szCs w:val="24"/>
        </w:rPr>
        <w:t xml:space="preserve">при наличии замечаний возвращает данные заключения в орган по сертификации на доработку.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tkosbim8pranrciuzmgz">
        <w:r>
          <w:rPr>
            <w:rFonts w:ascii="Arial" w:cs="Arial" w:eastAsia="Arial" w:hAnsi="Arial"/>
            <w:i/>
            <w:iCs/>
            <w:color w:val="1D4ED8"/>
            <w:sz w:val="24"/>
            <w:szCs w:val="24"/>
            <w:u w:val="single"/>
          </w:rPr>
          <w:t xml:space="preserve">4 сентября 2023 года № 447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Срок действия заключений об оценке типа транспортного средства и (или) типа шасси составляет один год.</w:t>
      </w:r>
    </w:p>
    <w:p>
      <w:pPr>
        <w:spacing w:after="60"/>
        <w:ind w:firstLine="567"/>
        <w:jc w:val="both"/>
      </w:pPr>
      <w:r>
        <w:rPr>
          <w:rFonts w:ascii="Arial" w:cs="Arial" w:eastAsia="Arial" w:hAnsi="Arial"/>
          <w:sz w:val="24"/>
          <w:szCs w:val="24"/>
        </w:rPr>
        <w:t xml:space="preserve">3. В заключения об оценке типа транспортного средства и (или) типа шасси, оформленные на малую партию транспортных средств (шасси), вносятся идентификационные номера транспортных средств (шасси).</w:t>
      </w:r>
    </w:p>
    <w:p>
      <w:pPr>
        <w:spacing w:after="60"/>
        <w:ind w:firstLine="567"/>
        <w:jc w:val="both"/>
      </w:pPr>
      <w:r>
        <w:rPr>
          <w:rFonts w:ascii="Arial" w:cs="Arial" w:eastAsia="Arial" w:hAnsi="Arial"/>
          <w:sz w:val="24"/>
          <w:szCs w:val="24"/>
        </w:rPr>
        <w:t xml:space="preserve">При отсутствии возможности идентифицировать транспортные средства (шасси), входящие в малую партию транспортных средств (шасси), заключения об оценке типа транспортного средства и (или) типа шасси, оформленные на эту малую партию, заявителю не выдаются и остаются на хранении в органе по сертификации, который ведет учет количества изготовленных транспортных средств (шасси) и на основании обращения заявителя выдает заверенные копии таких заключений, в которых указываются идентификационные номера транспортных средств (шасси).</w:t>
      </w:r>
    </w:p>
    <w:p>
      <w:pPr>
        <w:spacing w:after="60"/>
        <w:ind w:firstLine="567"/>
        <w:jc w:val="both"/>
      </w:pPr>
      <w:r>
        <w:rPr>
          <w:rFonts w:ascii="Arial" w:cs="Arial" w:eastAsia="Arial" w:hAnsi="Arial"/>
          <w:sz w:val="24"/>
          <w:szCs w:val="24"/>
        </w:rPr>
        <w:t xml:space="preserve">Действие заключений об оценке типа транспортного средства и (или) типа шасси, оформленных на малую партию транспортных средств (шасси), распространяется только на транспортные средства (шасси), включенные в указанную партию.</w:t>
      </w:r>
    </w:p>
    <w:p>
      <w:pPr>
        <w:spacing w:after="60"/>
        <w:ind w:firstLine="567"/>
        <w:jc w:val="both"/>
      </w:pPr>
      <w:r>
        <w:rPr>
          <w:rFonts w:ascii="Arial" w:cs="Arial" w:eastAsia="Arial" w:hAnsi="Arial"/>
          <w:sz w:val="24"/>
          <w:szCs w:val="24"/>
        </w:rPr>
        <w:t xml:space="preserve">4. При оценке соответствия типов транспортных средств, изготовленных с использованием базовых транспортных средств (шасси), имеющих заключения об оценке типа транспортного средства, типа шасси и (или) одобрения типа транспортного средства, типа шасси, подтверждение соответствия техническим требованиям осуществляется при представлении разрешения изготовителя базового транспортного средства (шасси) с указанием технических требований, обеспечение соответствия которым осуществляется изготовителем базового транспортного средства (шасси). В качестве доказательственных материалов в отношении таких технических требований используются выданные на базовые транспортные средства (шасси) заключения об оценке типа транспортного средства, типа шасси и (или) одобрения типа транспортного средства, типа шасси.</w:t>
      </w:r>
    </w:p>
    <w:p>
      <w:pPr>
        <w:spacing w:after="60"/>
        <w:ind w:firstLine="567"/>
        <w:jc w:val="both"/>
      </w:pPr>
      <w:r>
        <w:rPr>
          <w:rFonts w:ascii="Arial" w:cs="Arial" w:eastAsia="Arial" w:hAnsi="Arial"/>
          <w:sz w:val="24"/>
          <w:szCs w:val="24"/>
        </w:rPr>
        <w:t xml:space="preserve">В случае отсутствия разрешения, указанного в части первой настоящего пункта, орган по сертификации проводит экспертизу доказательственных материалов, послуживших основанием для оформления в отношении базовых транспортных средств (шасси) заключений об оценке типа транспортного средства, типа шасси и (или) одобрений типа транспортного средства, типа шасси, в целях установления влияния изменений и дополнений, внесенных в конструкцию базового транспортного средства (шасси), на оцениваемые технические требования. По результатам экспертизы орган по сертификации в отношении каждого технического требования оформляет протокол экспертизы, который является доказательственным материалом при оформлении заключения об оценке типа транспортного средства. В случае отсутствия доказательственных материалов орган по сертификации принимает решение о проведении испытаний в полном объеме требований, предъявляемых к данному транспортному средству.</w:t>
      </w:r>
    </w:p>
    <w:p>
      <w:pPr>
        <w:spacing w:after="60"/>
        <w:ind w:firstLine="567"/>
        <w:jc w:val="both"/>
      </w:pPr>
      <w:r>
        <w:rPr>
          <w:rFonts w:ascii="Arial" w:cs="Arial" w:eastAsia="Arial" w:hAnsi="Arial"/>
          <w:sz w:val="24"/>
          <w:szCs w:val="24"/>
        </w:rPr>
        <w:t xml:space="preserve">5. Орган по сертификации осуществляет контроль за соответствием техническим требованиям транспортных средств, в отношении которых проводилась оценка соответствия требованиям настоящего Положения, на стадии производства согласно разделу V Технического регламента.</w:t>
      </w:r>
    </w:p>
    <w:p>
      <w:pPr>
        <w:spacing w:after="60"/>
        <w:ind w:firstLine="567"/>
        <w:jc w:val="both"/>
      </w:pPr>
      <w:r>
        <w:rPr>
          <w:rFonts w:ascii="Arial" w:cs="Arial" w:eastAsia="Arial" w:hAnsi="Arial"/>
          <w:sz w:val="24"/>
          <w:szCs w:val="24"/>
        </w:rPr>
        <w:t xml:space="preserve">6. При необходимости внесения изменений в конструкцию транспортного средства (шасси) в течение срока действия заключений об оценке типа транспортного средства и (или) типа шасси заявитель до внесения изменений информирует об этом орган по сертификации и представляет заявку в соответствии с подпунктом 1 пункта 9 настоящего Положения. Срок действия заключений с внесенными в них изменениями не изменяется.</w:t>
      </w:r>
    </w:p>
    <w:p>
      <w:pPr>
        <w:spacing w:after="60"/>
        <w:ind w:firstLine="567"/>
        <w:jc w:val="both"/>
      </w:pPr>
      <w:r>
        <w:rPr>
          <w:rFonts w:ascii="Arial" w:cs="Arial" w:eastAsia="Arial" w:hAnsi="Arial"/>
          <w:sz w:val="24"/>
          <w:szCs w:val="24"/>
        </w:rPr>
        <w:t xml:space="preserve">7. В случае обнаружения неточностей в заключениях об оценке типа транспортного средства или типа шасси орган по сертификации осуществляет их исправление и направляет в ЦСМ на утверждение в порядке, предусмотренном в подпункте 4 пункта 9 настоящего Положения. Срок действия заключений с внесенными в них изменениями не изменяется.</w:t>
      </w:r>
    </w:p>
    <w:p>
      <w:pPr>
        <w:spacing w:after="200" w:before="200"/>
        <w:jc w:val="center"/>
      </w:pPr>
      <w:r>
        <w:rPr>
          <w:rFonts w:ascii="Arial" w:cs="Arial" w:eastAsia="Arial" w:hAnsi="Arial"/>
          <w:b/>
          <w:bCs/>
          <w:sz w:val="24"/>
          <w:szCs w:val="24"/>
        </w:rPr>
        <w:t xml:space="preserve">3. Порядок проведения оценки соответствия единичного транспортного средства</w:t>
      </w:r>
    </w:p>
    <w:p>
      <w:pPr>
        <w:spacing w:after="60"/>
        <w:ind w:firstLine="567"/>
        <w:jc w:val="both"/>
      </w:pPr>
      <w:r>
        <w:rPr>
          <w:rFonts w:ascii="Arial" w:cs="Arial" w:eastAsia="Arial" w:hAnsi="Arial"/>
          <w:sz w:val="24"/>
          <w:szCs w:val="24"/>
        </w:rPr>
        <w:t xml:space="preserve">1. Проверка выполнения технических требований к единичным транспортным средствам перед их выпуском в обращение осуществляется аккредитованной испытательной лабораторией в форме технической экспертизы конструкции единичного транспортного средства с использованием средств дистанционного взаимодействия.</w:t>
      </w:r>
    </w:p>
    <w:p>
      <w:pPr>
        <w:spacing w:after="60"/>
        <w:ind w:firstLine="567"/>
        <w:jc w:val="both"/>
      </w:pPr>
      <w:r>
        <w:rPr>
          <w:rFonts w:ascii="Arial" w:cs="Arial" w:eastAsia="Arial" w:hAnsi="Arial"/>
          <w:sz w:val="24"/>
          <w:szCs w:val="24"/>
        </w:rPr>
        <w:t xml:space="preserve">Проверке подвергаются только комплектные единичные транспортные средства. Если единичное транспортное средство относится к типу, в отношении которого выдавалось одобрение типа транспортного средства, то заключение об оценке транспортного средства оформляется на основании указанного одобрения.</w:t>
      </w:r>
    </w:p>
    <w:p>
      <w:pPr>
        <w:spacing w:after="60"/>
        <w:ind w:firstLine="567"/>
        <w:jc w:val="both"/>
      </w:pPr>
      <w:r>
        <w:rPr>
          <w:rFonts w:ascii="Arial" w:cs="Arial" w:eastAsia="Arial" w:hAnsi="Arial"/>
          <w:sz w:val="24"/>
          <w:szCs w:val="24"/>
        </w:rPr>
        <w:t xml:space="preserve">2. Оценка соответствия единичного транспортного средства проводится в следующем порядке:</w:t>
      </w:r>
    </w:p>
    <w:p>
      <w:pPr>
        <w:spacing w:after="60"/>
        <w:ind w:firstLine="567"/>
        <w:jc w:val="both"/>
      </w:pPr>
      <w:r>
        <w:rPr>
          <w:rFonts w:ascii="Arial" w:cs="Arial" w:eastAsia="Arial" w:hAnsi="Arial"/>
          <w:sz w:val="24"/>
          <w:szCs w:val="24"/>
        </w:rPr>
        <w:t xml:space="preserve">1) заявитель подает в аккредитованную испытательную лабораторию заявку, в которой указываются наименование заявителя, адрес его места нахождения, номера телефонов, адрес электронной почты, банковские реквизиты, тип транспортного средства, сведения о ранее выданных одобрениях типа транспортного средства и (или) типа шасси с приложением документов, указанных в разделе 3 </w:t>
      </w:r>
      <w:r>
        <w:rPr>
          <w:rFonts w:ascii="Arial" w:cs="Arial" w:eastAsia="Arial" w:hAnsi="Arial"/>
          <w:sz w:val="24"/>
          <w:szCs w:val="24"/>
        </w:rPr>
        <w:t xml:space="preserve">приложения № 12</w:t>
      </w:r>
      <w:r>
        <w:rPr>
          <w:rFonts w:ascii="Arial" w:cs="Arial" w:eastAsia="Arial" w:hAnsi="Arial"/>
          <w:sz w:val="24"/>
          <w:szCs w:val="24"/>
        </w:rPr>
        <w:t xml:space="preserve"> к Техническому регламенту;</w:t>
      </w:r>
    </w:p>
    <w:p>
      <w:pPr>
        <w:spacing w:after="60"/>
        <w:ind w:firstLine="567"/>
        <w:jc w:val="both"/>
      </w:pPr>
      <w:r>
        <w:rPr>
          <w:rFonts w:ascii="Arial" w:cs="Arial" w:eastAsia="Arial" w:hAnsi="Arial"/>
          <w:sz w:val="24"/>
          <w:szCs w:val="24"/>
        </w:rPr>
        <w:t xml:space="preserve">2) испытательная лаборатория:</w:t>
      </w:r>
    </w:p>
    <w:p>
      <w:pPr>
        <w:spacing w:after="60"/>
        <w:ind w:firstLine="567"/>
        <w:jc w:val="both"/>
      </w:pPr>
      <w:r>
        <w:rPr>
          <w:rFonts w:ascii="Arial" w:cs="Arial" w:eastAsia="Arial" w:hAnsi="Arial"/>
          <w:sz w:val="24"/>
          <w:szCs w:val="24"/>
        </w:rPr>
        <w:t xml:space="preserve">в течение трех рабочих дней со дня поступления заявки, указанной в подпункте 1 настоящего пункта, принимает решение о заключении договора на выполнение работ по оценке соответствия, в том числе содержащего информацию о представлении образца единичного транспортного средства;</w:t>
      </w:r>
    </w:p>
    <w:p>
      <w:pPr>
        <w:spacing w:after="60"/>
        <w:ind w:firstLine="567"/>
        <w:jc w:val="both"/>
      </w:pPr>
      <w:r>
        <w:rPr>
          <w:rFonts w:ascii="Arial" w:cs="Arial" w:eastAsia="Arial" w:hAnsi="Arial"/>
          <w:sz w:val="24"/>
          <w:szCs w:val="24"/>
        </w:rPr>
        <w:t xml:space="preserve">проводит идентификацию единичного транспортного средства (в том числе с использованием средств дистанционного взаимодействия);</w:t>
      </w:r>
    </w:p>
    <w:p>
      <w:pPr>
        <w:spacing w:after="60"/>
        <w:ind w:firstLine="567"/>
        <w:jc w:val="both"/>
      </w:pPr>
      <w:r>
        <w:rPr>
          <w:rFonts w:ascii="Arial" w:cs="Arial" w:eastAsia="Arial" w:hAnsi="Arial"/>
          <w:sz w:val="24"/>
          <w:szCs w:val="24"/>
        </w:rPr>
        <w:t xml:space="preserve">осуществляет проверку выполнения требований, предусмотренных в разделах 1-4 </w:t>
      </w:r>
      <w:r>
        <w:rPr>
          <w:rFonts w:ascii="Arial" w:cs="Arial" w:eastAsia="Arial" w:hAnsi="Arial"/>
          <w:sz w:val="24"/>
          <w:szCs w:val="24"/>
        </w:rPr>
        <w:t xml:space="preserve">приложения № 4</w:t>
      </w:r>
      <w:r>
        <w:rPr>
          <w:rFonts w:ascii="Arial" w:cs="Arial" w:eastAsia="Arial" w:hAnsi="Arial"/>
          <w:sz w:val="24"/>
          <w:szCs w:val="24"/>
        </w:rPr>
        <w:t xml:space="preserve"> к Техническому регламенту (в том числе посредством проведения технической экспертизы конструкции с использованием средств дистанционного взаимодействия). В случае, если в конструкцию транспортного средства, изготовленного в условиях серийного производства, в индивидуальном порядке внесены изменения, не затрагивающие системы двигателя внутреннего сгорания, то проверка выполнения требований раздела 4 </w:t>
      </w:r>
      <w:r>
        <w:rPr>
          <w:rFonts w:ascii="Arial" w:cs="Arial" w:eastAsia="Arial" w:hAnsi="Arial"/>
          <w:sz w:val="24"/>
          <w:szCs w:val="24"/>
        </w:rPr>
        <w:t xml:space="preserve">приложения № 4</w:t>
      </w:r>
      <w:r>
        <w:rPr>
          <w:rFonts w:ascii="Arial" w:cs="Arial" w:eastAsia="Arial" w:hAnsi="Arial"/>
          <w:sz w:val="24"/>
          <w:szCs w:val="24"/>
        </w:rPr>
        <w:t xml:space="preserve"> к Техническому регламенту в отношении такого единичного транспортного средства не проводится, а также не оценивается наличие антиблокировочной тормозной системы (в отношении специальных и специализированных транспортных средств дополнительно оценивается выполнение требований, предусмотренных в </w:t>
      </w:r>
      <w:r>
        <w:rPr>
          <w:rFonts w:ascii="Arial" w:cs="Arial" w:eastAsia="Arial" w:hAnsi="Arial"/>
          <w:sz w:val="24"/>
          <w:szCs w:val="24"/>
        </w:rPr>
        <w:t xml:space="preserve">приложении № 6</w:t>
      </w:r>
      <w:r>
        <w:rPr>
          <w:rFonts w:ascii="Arial" w:cs="Arial" w:eastAsia="Arial" w:hAnsi="Arial"/>
          <w:sz w:val="24"/>
          <w:szCs w:val="24"/>
        </w:rPr>
        <w:t xml:space="preserve"> к Техническому регламенту);</w:t>
      </w:r>
    </w:p>
    <w:p>
      <w:pPr>
        <w:spacing w:after="60"/>
        <w:ind w:firstLine="567"/>
        <w:jc w:val="both"/>
      </w:pPr>
      <w:r>
        <w:rPr>
          <w:rFonts w:ascii="Arial" w:cs="Arial" w:eastAsia="Arial" w:hAnsi="Arial"/>
          <w:sz w:val="24"/>
          <w:szCs w:val="24"/>
        </w:rPr>
        <w:t xml:space="preserve">осуществляет подготовку протокола технической экспертизы конструкции единичного транспортного средства;</w:t>
      </w:r>
    </w:p>
    <w:p>
      <w:pPr>
        <w:spacing w:after="60"/>
        <w:ind w:firstLine="567"/>
        <w:jc w:val="both"/>
      </w:pPr>
      <w:r>
        <w:rPr>
          <w:rFonts w:ascii="Arial" w:cs="Arial" w:eastAsia="Arial" w:hAnsi="Arial"/>
          <w:sz w:val="24"/>
          <w:szCs w:val="24"/>
        </w:rPr>
        <w:t xml:space="preserve">оформляет заключение об оценке единичного транспортного средства по форме, представленной в </w:t>
      </w:r>
      <w:hyperlink w:history="1" r:id="rIdkqj-xbpyifrhkbab4f7ml">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присваивает ему регистрационный номер в соответствии с </w:t>
      </w:r>
      <w:hyperlink w:history="1" r:id="rIdneenoibng6twha5vhixro">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и направляет копию выданного заключения в ЦСМ;</w:t>
      </w:r>
    </w:p>
    <w:p>
      <w:pPr>
        <w:spacing w:after="60"/>
        <w:ind w:firstLine="567"/>
        <w:jc w:val="both"/>
      </w:pPr>
      <w:r>
        <w:rPr>
          <w:rFonts w:ascii="Arial" w:cs="Arial" w:eastAsia="Arial" w:hAnsi="Arial"/>
          <w:sz w:val="24"/>
          <w:szCs w:val="24"/>
        </w:rPr>
        <w:t xml:space="preserve">хранит документацию, имеющую отношение к проверке выполнения технических требований, не менее 10 лет.</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временных требованиях и порядке проведения оценки соответствия отдельных колесных транспортных средств</w:t>
      </w:r>
    </w:p>
    <w:p>
      <w:pPr>
        <w:spacing w:after="400" w:before="400"/>
        <w:jc w:val="center"/>
      </w:pPr>
      <w:r>
        <w:rPr>
          <w:rFonts w:ascii="Arial" w:cs="Arial" w:eastAsia="Arial" w:hAnsi="Arial"/>
          <w:b/>
          <w:bCs/>
          <w:sz w:val="32"/>
          <w:szCs w:val="32"/>
        </w:rPr>
        <w:t xml:space="preserve">ПЕРЕЧЕНЬ
 технических требований при оценке соответствия транспортных средств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op0lokjiiob0pkeurz9zc">
        <w:r>
          <w:rPr>
            <w:rFonts w:ascii="Arial" w:cs="Arial" w:eastAsia="Arial" w:hAnsi="Arial"/>
            <w:i/>
            <w:iCs/>
            <w:color w:val="1D4ED8"/>
            <w:sz w:val="24"/>
            <w:szCs w:val="24"/>
            <w:u w:val="single"/>
          </w:rPr>
          <w:t xml:space="preserve">4 сентября 2023 года № 447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Технические требования или объекты регламентации</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Категории транспортных средств</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Документы, содержащие технические требования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Фары ближнего и дальнего света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w:t>
            </w:r>
            <w:r>
              <w:rPr>
                <w:rFonts w:ascii="Arial" w:cs="Arial" w:eastAsia="Arial" w:hAnsi="Arial"/>
                <w:sz w:val="24"/>
                <w:szCs w:val="24"/>
              </w:rPr>
              <w:t xml:space="preserve">L</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1-02 "Единообразные предписания, касающиеся официального утверждения автомобильных фар, дающих асимметричный луч ближнего и (или) дальнего света и оснащенных лампами накаливания категорий R2 и (или) HS1"</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Световозвращатели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 </w:t>
            </w:r>
            <w:r>
              <w:rPr>
                <w:rFonts w:ascii="Arial" w:cs="Arial" w:eastAsia="Arial" w:hAnsi="Arial"/>
                <w:sz w:val="24"/>
                <w:szCs w:val="24"/>
              </w:rPr>
              <w:t xml:space="preserve">L</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3-02 "Единообразные предписания, касающиеся официального утверждения светоотражающих приспособлений для механических транспортных средств и их прицепов"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освещения заднего номерного знака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4-00 "Единообразные предписания, касающиеся официального утверждения приспособлений для освещения заднего номерного знака механических транспортных средств и их прицепов"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Указатели поворота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 </w:t>
            </w:r>
            <w:r>
              <w:rPr>
                <w:rFonts w:ascii="Arial" w:cs="Arial" w:eastAsia="Arial" w:hAnsi="Arial"/>
                <w:sz w:val="24"/>
                <w:szCs w:val="24"/>
              </w:rPr>
              <w:t xml:space="preserve">L</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6-01 "Единообразные предписания, касающиеся официального утверждения указателей поворота механических транспортных средств и их прицепов"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Габаритные огни, сигналы торможения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 </w:t>
            </w:r>
            <w:r>
              <w:rPr>
                <w:rFonts w:ascii="Arial" w:cs="Arial" w:eastAsia="Arial" w:hAnsi="Arial"/>
                <w:sz w:val="24"/>
                <w:szCs w:val="24"/>
              </w:rPr>
              <w:t xml:space="preserve">L</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7-02 "Единообразные предписания, касающиеся официального утверждения подфарников, задних габаритных огней, стоп-сигналов и контурных огней механических транспортных средств и их прицепов"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Фары ближнего и дальнего света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w:t>
            </w:r>
            <w:r>
              <w:rPr>
                <w:rFonts w:ascii="Arial" w:cs="Arial" w:eastAsia="Arial" w:hAnsi="Arial"/>
                <w:sz w:val="24"/>
                <w:szCs w:val="24"/>
              </w:rPr>
              <w:t xml:space="preserve">L</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8-05 "Единообразные предписания, касающиеся официального утверждения автомобильных фар с асимметричными огнями ближнего света и (или) огнями дальнего света, предназначенных для использования с галогенными лампами накаливания (лампы H1, Н2, Н3, НВ3, НВ4, Н7, Н8, Н9, HIR1, HIR2 и (или) H11)"</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Замки и петли дверей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N1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11-02 "Единообразные предписания, касающиеся официального утверждения транспортных средств в отношении замков и устройств крепления дверей"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Травмобезопасность рулевого управления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N1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12-03 "Единообразные предписания, касающиеся официального утверждения транспортных средств в отношении защиты водителя от удара о систему рулевого управления"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тормозных систем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13-07 "Единообразные предписания, касающиеся официального утверждения транспортных средств категорий М, N и О в отношении торможения"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N1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13-Н "Единообразные предписания, касающиеся официального утверждения легковых автомобилей в отношении торможения"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Места крепления ремней 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6</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14-03 "Единообразные предписания, касающиеся официального утверждения транспортных средств в отношении креплений ремней безопасности"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транспортных средств удерживающими системами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6</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16-04 "Единообразные предписания, касающиеся официального утверждения ремней безопасности и удерживающих систем для взрослых пассажиров и водителей механических транспортных средств"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Прочность сидений и их креплений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N1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17-05 "Единообразные предписания, касающиеся официального утверждения транспортных средств в отношении сидений, их креплений и подголовников"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транспортного средства от несанкционированного использования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6</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18-02 "Единообразные предписания, касающиеся официального утверждения автотранспортных средств в отношении их защиты от несанкционированного использования"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Передние противотуманные фары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3</w:t>
            </w:r>
            <w:r>
              <w:rPr>
                <w:rFonts w:ascii="Arial" w:cs="Arial" w:eastAsia="Arial" w:hAnsi="Arial"/>
                <w:sz w:val="24"/>
                <w:szCs w:val="24"/>
              </w:rPr>
              <w:t xml:space="preserve">, L</w:t>
            </w:r>
            <w:r>
              <w:rPr>
                <w:rFonts w:ascii="Arial" w:cs="Arial" w:eastAsia="Arial" w:hAnsi="Arial"/>
                <w:sz w:val="24"/>
                <w:szCs w:val="24"/>
              </w:rPr>
              <w:t xml:space="preserve">4</w:t>
            </w:r>
            <w:r>
              <w:rPr>
                <w:rFonts w:ascii="Arial" w:cs="Arial" w:eastAsia="Arial" w:hAnsi="Arial"/>
                <w:sz w:val="24"/>
                <w:szCs w:val="24"/>
              </w:rPr>
              <w:t xml:space="preserve">, L</w:t>
            </w:r>
            <w:r>
              <w:rPr>
                <w:rFonts w:ascii="Arial" w:cs="Arial" w:eastAsia="Arial" w:hAnsi="Arial"/>
                <w:sz w:val="24"/>
                <w:szCs w:val="24"/>
              </w:rPr>
              <w:t xml:space="preserve">5</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19-02 "Единообразные предписания, касающиеся официального утверждения передних противотуманных фар для механических транспортных средств"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Фары ближнего и дальнего света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w:t>
            </w:r>
            <w:r>
              <w:rPr>
                <w:rFonts w:ascii="Arial" w:cs="Arial" w:eastAsia="Arial" w:hAnsi="Arial"/>
                <w:sz w:val="24"/>
                <w:szCs w:val="24"/>
              </w:rPr>
              <w:t xml:space="preserve">L</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20-03 "Единообразные предписания, касающиеся официального утверждения автомобильных фар с асимметричными огнями ближнего света и (или) огнями дальнего света, предназначенных для использования с галогенными лампами накаливания (лампа Н4)"</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Фонари заднего хода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23-00 "Единообразные предписания, касающиеся официального утверждения задних фар и огней маневрирования механических транспортных средств и их прицепов"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Выбросы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6</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24-03 "Единообразные предписания, касающиеся:</w:t>
            </w:r>
          </w:p>
          <w:p>
            <w:pPr>
              <w:jc w:val="left"/>
            </w:pPr>
            <w:r>
              <w:rPr>
                <w:rFonts w:ascii="Arial" w:cs="Arial" w:eastAsia="Arial" w:hAnsi="Arial"/>
                <w:sz w:val="24"/>
                <w:szCs w:val="24"/>
              </w:rPr>
              <w:t xml:space="preserve">I. Официального утверждения двигателей с воспламенением от сжатия в отношении выброса видимых загрязняющих веществ</w:t>
            </w:r>
          </w:p>
          <w:p>
            <w:pPr>
              <w:jc w:val="left"/>
            </w:pPr>
            <w:r>
              <w:rPr>
                <w:rFonts w:ascii="Arial" w:cs="Arial" w:eastAsia="Arial" w:hAnsi="Arial"/>
                <w:sz w:val="24"/>
                <w:szCs w:val="24"/>
              </w:rPr>
              <w:t xml:space="preserve">II. Официального утверждения автотранспортных средств в отношении установки на них двигателей с воспламенением от сжатия, официально утвержденных по типу конструкции</w:t>
            </w:r>
          </w:p>
          <w:p>
            <w:pPr>
              <w:jc w:val="left"/>
            </w:pPr>
            <w:r>
              <w:rPr>
                <w:rFonts w:ascii="Arial" w:cs="Arial" w:eastAsia="Arial" w:hAnsi="Arial"/>
                <w:sz w:val="24"/>
                <w:szCs w:val="24"/>
              </w:rPr>
              <w:t xml:space="preserve">III. Официального утверждения автотранспортных средств с двигателем с воспламенением от сжатия в отношении выброса видимых загрязняющих веществ</w:t>
            </w:r>
          </w:p>
          <w:p>
            <w:pPr>
              <w:jc w:val="left"/>
            </w:pPr>
            <w:r>
              <w:rPr>
                <w:rFonts w:ascii="Arial" w:cs="Arial" w:eastAsia="Arial" w:hAnsi="Arial"/>
                <w:sz w:val="24"/>
                <w:szCs w:val="24"/>
              </w:rPr>
              <w:t xml:space="preserve">IV. Измерения мощности двигателей с воспламенением от сжатия"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Подголовники сидений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25-04 "Единообразные предписания, касающиеся официального утверждения подголовников, вмонтированных или не вмонтированных в сиденья транспортных средств"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Травмобезопасность наружных выступов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N1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26-01 "Единообразные предписания, касающиеся официального утверждения транспортных средств в отношении их наружных выступов"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звуковыми сигнальными приборами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3</w:t>
            </w:r>
            <w:r>
              <w:rPr>
                <w:rFonts w:ascii="Arial" w:cs="Arial" w:eastAsia="Arial" w:hAnsi="Arial"/>
                <w:sz w:val="24"/>
                <w:szCs w:val="24"/>
              </w:rPr>
              <w:t xml:space="preserve">, L</w:t>
            </w:r>
            <w:r>
              <w:rPr>
                <w:rFonts w:ascii="Arial" w:cs="Arial" w:eastAsia="Arial" w:hAnsi="Arial"/>
                <w:sz w:val="24"/>
                <w:szCs w:val="24"/>
              </w:rPr>
              <w:t xml:space="preserve">4</w:t>
            </w:r>
            <w:r>
              <w:rPr>
                <w:rFonts w:ascii="Arial" w:cs="Arial" w:eastAsia="Arial" w:hAnsi="Arial"/>
                <w:sz w:val="24"/>
                <w:szCs w:val="24"/>
              </w:rPr>
              <w:t xml:space="preserve">, L</w:t>
            </w:r>
            <w:r>
              <w:rPr>
                <w:rFonts w:ascii="Arial" w:cs="Arial" w:eastAsia="Arial" w:hAnsi="Arial"/>
                <w:sz w:val="24"/>
                <w:szCs w:val="24"/>
              </w:rPr>
              <w:t xml:space="preserve">5</w:t>
            </w:r>
            <w:r>
              <w:rPr>
                <w:rFonts w:ascii="Arial" w:cs="Arial" w:eastAsia="Arial" w:hAnsi="Arial"/>
                <w:sz w:val="24"/>
                <w:szCs w:val="24"/>
              </w:rPr>
              <w:t xml:space="preserve">, L</w:t>
            </w:r>
            <w:r>
              <w:rPr>
                <w:rFonts w:ascii="Arial" w:cs="Arial" w:eastAsia="Arial" w:hAnsi="Arial"/>
                <w:sz w:val="24"/>
                <w:szCs w:val="24"/>
              </w:rPr>
              <w:t xml:space="preserve">6</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28-00 "Единообразные предписания, касающиеся официального утверждения звуковых сигнальных приборов и автотранспортных средств в отношении их звуковых сигналов предупреждения"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свойства кабин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29-01 "Единообразные предписания, касающиеся официального утверждения транспортных средств в отношении защиты лиц, находящихся в кабине грузового транспортного средства"</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шинами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 </w:t>
            </w:r>
            <w:r>
              <w:rPr>
                <w:rFonts w:ascii="Arial" w:cs="Arial" w:eastAsia="Arial" w:hAnsi="Arial"/>
                <w:sz w:val="24"/>
                <w:szCs w:val="24"/>
              </w:rPr>
              <w:t xml:space="preserve">L</w:t>
            </w:r>
            <w:r>
              <w:rPr>
                <w:rFonts w:ascii="Arial" w:cs="Arial" w:eastAsia="Arial" w:hAnsi="Arial"/>
                <w:sz w:val="24"/>
                <w:szCs w:val="24"/>
              </w:rPr>
              <w:t xml:space="preserve">6</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30-02 "Единообразные предписания, касающиеся официального утверждения шин для автомобилей и их прицепов"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Пожарная безопасность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34-01 "Единообразные предписания, касающиеся официального утверждения транспортных средств в отношении предотвращения опасности возникновения пожара"</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 М3,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34-02 "Единообразные предписания, касающиеся официального утверждения транспортных средств в отношении предотвращения опасности возникновения пожара"</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безопасности к транспортным средствам вместимостью более 22 пассажиров</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 М3</w:t>
            </w:r>
          </w:p>
        </w:tc>
        <w:tc>
          <w:tcPr>
            <w:tcW w:type="dxa" w:w="20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36-03 "Единообразные предписания, касающиеся официального утверждения транспортных средств большой вместимости в отношении их общей конструкции"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Задние противотуманные огни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 L</w:t>
            </w:r>
            <w:r>
              <w:rPr>
                <w:rFonts w:ascii="Arial" w:cs="Arial" w:eastAsia="Arial" w:hAnsi="Arial"/>
                <w:sz w:val="24"/>
                <w:szCs w:val="24"/>
              </w:rPr>
              <w:t xml:space="preserve">3</w:t>
            </w:r>
            <w:r>
              <w:rPr>
                <w:rFonts w:ascii="Arial" w:cs="Arial" w:eastAsia="Arial" w:hAnsi="Arial"/>
                <w:sz w:val="24"/>
                <w:szCs w:val="24"/>
              </w:rPr>
              <w:t xml:space="preserve">, L</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L</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38-00 "Единообразные предписания, касающиеся официального утверждения задних противотуманных огней механических транспортных средств и их прицепов"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измерения скорости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3</w:t>
            </w:r>
            <w:r>
              <w:rPr>
                <w:rFonts w:ascii="Arial" w:cs="Arial" w:eastAsia="Arial" w:hAnsi="Arial"/>
                <w:sz w:val="24"/>
                <w:szCs w:val="24"/>
              </w:rPr>
              <w:t xml:space="preserve">, L</w:t>
            </w:r>
            <w:r>
              <w:rPr>
                <w:rFonts w:ascii="Arial" w:cs="Arial" w:eastAsia="Arial" w:hAnsi="Arial"/>
                <w:sz w:val="24"/>
                <w:szCs w:val="24"/>
              </w:rPr>
              <w:t xml:space="preserve">4</w:t>
            </w:r>
            <w:r>
              <w:rPr>
                <w:rFonts w:ascii="Arial" w:cs="Arial" w:eastAsia="Arial" w:hAnsi="Arial"/>
                <w:sz w:val="24"/>
                <w:szCs w:val="24"/>
              </w:rPr>
              <w:t xml:space="preserve">, L</w:t>
            </w:r>
            <w:r>
              <w:rPr>
                <w:rFonts w:ascii="Arial" w:cs="Arial" w:eastAsia="Arial" w:hAnsi="Arial"/>
                <w:sz w:val="24"/>
                <w:szCs w:val="24"/>
              </w:rPr>
              <w:t xml:space="preserve">5</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39-00 "Единообразные предписания, касающиеся официального утверждения транспортных средств в отношении механизма для измерения скорости и одометра, включая их установку"</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безопасными стеклами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43-00 "Единообразные предписания, касающиеся официального утверждения безопасных стекол и стекловых материалов"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устройствами непрямого обзора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6</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46-01 "Единообразные предписания, касающиеся официального утверждения устройств непрямого обзора и механических транспортных средств в отношении установки этих устройств"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устройствами освещения и световой сигнализацией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48-02 "Единообразные предписания, касающиеся официального утверждения транспортных средств в отношении установки устройств освещения и световой сигнализации"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Выбросы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максимальной массой свыше 3,5 т, М2, М3, N1, N2, N3 с дизельными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49-01 (экологический класс 0) "Единообразные предписания,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 предназначенных для использования на транспортных средствах"</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максимальной массой свыше 3,5 т, М2, М3, N1, N2, N3 с газовыми и дизельными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49-02 (уровень выбросов А, экологический класс 1) "Единообразные предписания,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 предназначенных для использования на транспортных средствах"</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49-02 (уровень выбросов В, экологический класс 2) "Единообразные предписания,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 предназначенных для использования на транспортных средствах"</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49-04 (уровень выбросов А, экологический класс 3) "Единообразные предписания,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 предназначенных для использования на транспортных средствах"</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49-05 (уровень выбросов В1, уровень требований в отношении бортовой диагностики, долговечности и эксплуатационной пригодности, контроля NOx - "С", экологический класс 4) "Единообразные предписания,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 предназначенных для использования на транспортных средствах"</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49-05 (уровни выбросов В2, С, уровень требований в отношении бортовой диагностики, долговечности, контроля NOx - "G", "К", экологический класс 5) "Единообразные предписания,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 предназначенных для использования на транспортных средствах"</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Внешний шум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51-01 "Единообразные предписания, касающиеся официального утверждения автотранспортных средств, имеющих не менее четырех колес, в отношении излучаемого ими звука"</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безопасности к транспортным средствам вместимостью не более 22 пассажиров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 М3</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52-01 "Единообразные предписания, касающиеся официального утверждения маломестных транспортных средств категорий М2 и М3 в отношении их общей конструкции"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шинами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54-00 "Единообразные предписания, касающиеся официального утверждения шин для грузовых транспортных средств и их прицепов"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сцепными устройствами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55-01 "Единообразные предписания, касающиеся официального утверждения механических деталей сцепных устройств составов транспортных средств"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задними защитными устройствами транспортных средств для перевозки грузов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 N3, О3, О4</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58-02 "Единообразные предписания, касающиеся официального утверждения:</w:t>
            </w:r>
          </w:p>
          <w:p>
            <w:pPr>
              <w:jc w:val="left"/>
            </w:pPr>
            <w:r>
              <w:rPr>
                <w:rFonts w:ascii="Arial" w:cs="Arial" w:eastAsia="Arial" w:hAnsi="Arial"/>
                <w:sz w:val="24"/>
                <w:szCs w:val="24"/>
              </w:rPr>
              <w:t xml:space="preserve">I. Задних защитных устройств</w:t>
            </w:r>
          </w:p>
          <w:p>
            <w:pPr>
              <w:jc w:val="left"/>
            </w:pPr>
            <w:r>
              <w:rPr>
                <w:rFonts w:ascii="Arial" w:cs="Arial" w:eastAsia="Arial" w:hAnsi="Arial"/>
                <w:sz w:val="24"/>
                <w:szCs w:val="24"/>
              </w:rPr>
              <w:t xml:space="preserve">II. Транспортных средств в отношении установки задних защитных устройств официально утвержденного типа</w:t>
            </w:r>
          </w:p>
          <w:p>
            <w:pPr>
              <w:jc w:val="left"/>
            </w:pPr>
            <w:r>
              <w:rPr>
                <w:rFonts w:ascii="Arial" w:cs="Arial" w:eastAsia="Arial" w:hAnsi="Arial"/>
                <w:sz w:val="24"/>
                <w:szCs w:val="24"/>
              </w:rPr>
              <w:t xml:space="preserve">III. Транспортных средств в отношении их задней защиты"</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Травмобезопасность наружных выступов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61-00 "Единообразные предписания, касающиеся официального утверждения грузовых транспортных средств в отношении их наружных выступов, расположенных перед задней панелью кабины водителя"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предупреждающие огни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w:t>
            </w:r>
            <w:r>
              <w:rPr>
                <w:rFonts w:ascii="Arial" w:cs="Arial" w:eastAsia="Arial" w:hAnsi="Arial"/>
                <w:sz w:val="24"/>
                <w:szCs w:val="24"/>
              </w:rPr>
              <w:t xml:space="preserve">L</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65-00 "Единообразные предписания, касающиеся официального утверждения специальных предупреждающих огней, устанавливаемых на механических транспортных средствах и их прицепах"</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Прочность верхней части конструкции кузова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 М3 (классы В, II, III)</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66-02 "Единообразные предписания, касающиеся официального утверждения крупногабаритных пассажирских транспортных средств в отношении прочности верхней части конструкции"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и системы питания на сжиженном нефтяном газе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67-01 "Единообразные предписания, касающиеся:</w:t>
            </w:r>
          </w:p>
          <w:p>
            <w:pPr>
              <w:jc w:val="left"/>
            </w:pPr>
            <w:r>
              <w:rPr>
                <w:rFonts w:ascii="Arial" w:cs="Arial" w:eastAsia="Arial" w:hAnsi="Arial"/>
                <w:sz w:val="24"/>
                <w:szCs w:val="24"/>
              </w:rPr>
              <w:t xml:space="preserve">I. Официального утверждения специального оборудования транспортных средств категорий М и N, двигатели которых работают на сжиженном нефтяном газе</w:t>
            </w:r>
          </w:p>
          <w:p>
            <w:pPr>
              <w:jc w:val="left"/>
            </w:pPr>
            <w:r>
              <w:rPr>
                <w:rFonts w:ascii="Arial" w:cs="Arial" w:eastAsia="Arial" w:hAnsi="Arial"/>
                <w:sz w:val="24"/>
                <w:szCs w:val="24"/>
              </w:rPr>
              <w:t xml:space="preserve">II. Официального утверждения транспортных средств категорий М и N, оснащенных специальным оборудованием для использования сжиженного нефтяного газа в качестве топлива, в отношении установки такого оборудования"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боковыми защитными устройствами транспортных средств для перевозки грузов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 N3, О3, О4</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73-00 "Единообразные предписания, касающиеся официального утверждения грузовых транспортных средств в отношении их боковой защиты"</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Стояночные огни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77-00 "Единообразные предписания, касающиеся официального утверждения стояночных фонарей механических транспортных средств"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Рулевое управление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79-01 "Единообразные предписания, касающиеся официального утверждения транспортных средств в отношении механизмов рулевого управления"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Прочность сидений и их креплений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 М3</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80-01 "Единообразные предписания, касающиеся официального утверждения сидений крупногабаритных пассажирских транспортных средств и официального утверждения этих транспортных средств в отношении прочности сидений и их креплений"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Выбросы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М2 максимальной массой не более 3,5 т, N1 с бензиновыми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83-02 (уровень выбросов А, экологический класс 0) "Единообразные предписания, касающиеся официального утверждения транспортных средств в отношении выбросов загрязняющих веществ в зависимости от топлива, необходимого для двигателей"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М2 максимальной массой не более 3,5 т, N1 с бензиновыми и дизельными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83-02 (уровни выбросов В, С соответственно, экологический класс 1) "Единообразные предписания, касающиеся официального утверждения транспортных средств в отношении выбросов загрязняющих веществ в зависимости от топлива, необходимого для двигателей"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M1,М2 максимальной массой не более 3,5 т, N1 с искровыми (бензиновыми, газовыми) и дизельными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83-04 (уровни выбросов В, С, D соответственно, экологический класс 2) "Единообразные предписания, касающиеся официального утверждения транспортных средств в отношении выбросов загрязняющих веществ в зависимости от топлива, необходимого для двигателей"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М2, N1, N2 (в соответствии с областью применения Правил ООН № 83) с бензиновыми, газовыми и дизельными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83-05 (уровень выбросов А, экологический класс 3) "Единообразные предписания, касающиеся официального утверждения транспортных средств в отношении выбросов загрязняющих веществ в зависимости от топлива, необходимого для двигателей"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М2, N1, N2 (в соответствии с областью применения Правил ООН № 83) с двигателями с принудительным зажиганием и дизельными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83-05 (уровень выбросов В, экологический класс 4) "Единообразные предписания, касающиеся официального утверждения транспортных средств в отношении выбросов загрязняющих веществ в зависимости от топлива, необходимого для двигателей"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М2, N1, N2 (в соответствии с областью применения Правил ООН № 83-06)с двигателями с принудительным зажиганием</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83-06 (экологический класс 5) "Единообразные предписания, касающиеся официального утверждения транспортных средств в отношении выбросов загрязняющих веществ в зависимости от топлива, необходимого для двигателей"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устройствами ограничения максимальной скорости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89-00 "Единообразные предписания, касающиеся официального утверждения:</w:t>
            </w:r>
          </w:p>
          <w:p>
            <w:pPr>
              <w:jc w:val="left"/>
            </w:pPr>
            <w:r>
              <w:rPr>
                <w:rFonts w:ascii="Arial" w:cs="Arial" w:eastAsia="Arial" w:hAnsi="Arial"/>
                <w:sz w:val="24"/>
                <w:szCs w:val="24"/>
              </w:rPr>
              <w:t xml:space="preserve">I. Транспортных средств в отношении ограничения их максимальной скорости или их регулируемой функции ограничения скорости</w:t>
            </w:r>
          </w:p>
          <w:p>
            <w:pPr>
              <w:jc w:val="left"/>
            </w:pPr>
            <w:r>
              <w:rPr>
                <w:rFonts w:ascii="Arial" w:cs="Arial" w:eastAsia="Arial" w:hAnsi="Arial"/>
                <w:sz w:val="24"/>
                <w:szCs w:val="24"/>
              </w:rPr>
              <w:t xml:space="preserve">II. Транспортных средств в отношении установки устройств ограничения скорости (УОС) или регулируемого устройства ограничения скорости (РУОС) официально утвержденного типа</w:t>
            </w:r>
          </w:p>
          <w:p>
            <w:pPr>
              <w:jc w:val="left"/>
            </w:pPr>
            <w:r>
              <w:rPr>
                <w:rFonts w:ascii="Arial" w:cs="Arial" w:eastAsia="Arial" w:hAnsi="Arial"/>
                <w:sz w:val="24"/>
                <w:szCs w:val="24"/>
              </w:rPr>
              <w:t xml:space="preserve">III. Устройств ограничения скорости (УОС) и регулируемого устройства ограничения скорости (РУОС)"</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передними защитными устройствами транспортных средств для перевозки грузов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 N3</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93-00 "Единообразные предписания, касающиеся официального утверждения:</w:t>
            </w:r>
          </w:p>
          <w:p>
            <w:pPr>
              <w:jc w:val="left"/>
            </w:pPr>
            <w:r>
              <w:rPr>
                <w:rFonts w:ascii="Arial" w:cs="Arial" w:eastAsia="Arial" w:hAnsi="Arial"/>
                <w:sz w:val="24"/>
                <w:szCs w:val="24"/>
              </w:rPr>
              <w:t xml:space="preserve">I. Передних противоподкатных защитных устройств (ППЗУ)</w:t>
            </w:r>
          </w:p>
          <w:p>
            <w:pPr>
              <w:jc w:val="left"/>
            </w:pPr>
            <w:r>
              <w:rPr>
                <w:rFonts w:ascii="Arial" w:cs="Arial" w:eastAsia="Arial" w:hAnsi="Arial"/>
                <w:sz w:val="24"/>
                <w:szCs w:val="24"/>
              </w:rPr>
              <w:t xml:space="preserve">II. Транспортных средств в отношении установки ППЗУ официально утвержденного типа</w:t>
            </w:r>
          </w:p>
          <w:p>
            <w:pPr>
              <w:jc w:val="left"/>
            </w:pPr>
            <w:r>
              <w:rPr>
                <w:rFonts w:ascii="Arial" w:cs="Arial" w:eastAsia="Arial" w:hAnsi="Arial"/>
                <w:sz w:val="24"/>
                <w:szCs w:val="24"/>
              </w:rPr>
              <w:t xml:space="preserve">III. Транспортных средств в отношении их передней противоподкатной защиты (ППЗ)"</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Выбросы</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максимальной массой свыше 3,5 т, М2, М3, N1, N2, N3 повышенной проходимости с дизельными двигателями</w:t>
            </w:r>
          </w:p>
        </w:tc>
        <w:tc>
          <w:tcPr>
            <w:tcW w:type="dxa" w:w="20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96-01 (экологический класс 3) "Единообразные предписания, касающиеся официального утверждения двигателей с воспламенением от сжатия для установки на сельскохозяйственных и лесных тракторах и внедорожной технике в отношении выброса загрязняющих веществ этими двигателями"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M1G, M2G максимальной массой свыше 3,5 т, M3G, N1G, N2G, N3G с приводом на все колеса, в том числе с отключаемым приводом одной из осей, с дизельными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96-02 (экологический класс 4) "Единообразные предписания, касающиеся официального утверждения двигателей с воспламенением от сжатия для установки на сельскохозяйственных и лесных тракторах и внедорожной технике в отношении выброса загрязняющих веществ этими двигателями"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Фары ближнего и дальнего света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3</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98-00 "Единообразные предписания, касающиеся официального утверждения фар механических транспортных средств с газоразрядными источниками света"</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Безопасность транспортных средств с электрическим приводом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100-00 "Единообразные предписания, касающиеся официального утверждения транспортных средств в отношении конкретных требований к электрическим приводам"</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Светоотражающая маркировка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 N3, О3, О4</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104-00 "Единообразные предписания, касающиеся официального утверждения светоотражающей маркировки для транспортных средств категорий М, N и О"</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безопасности к пассажирским транспортным средствам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 М3</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107-01 "Единообразные предписания, касающиеся официального утверждения транспортных средств категорий М2 и М3 в отношении их общей конструкции"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и системы питания на компримированном и сжиженном природном газе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110-00 "Единообразные предписания, касающиеся официального утверждения:</w:t>
            </w:r>
          </w:p>
          <w:p>
            <w:pPr>
              <w:jc w:val="left"/>
            </w:pPr>
            <w:r>
              <w:rPr>
                <w:rFonts w:ascii="Arial" w:cs="Arial" w:eastAsia="Arial" w:hAnsi="Arial"/>
                <w:sz w:val="24"/>
                <w:szCs w:val="24"/>
              </w:rPr>
              <w:t xml:space="preserve">I. Элементов специального оборудования механических транспортных средств, двигатели которых работают на компримированном природном газе (КПГ)</w:t>
            </w:r>
          </w:p>
          <w:p>
            <w:pPr>
              <w:jc w:val="left"/>
            </w:pPr>
            <w:r>
              <w:rPr>
                <w:rFonts w:ascii="Arial" w:cs="Arial" w:eastAsia="Arial" w:hAnsi="Arial"/>
                <w:sz w:val="24"/>
                <w:szCs w:val="24"/>
              </w:rPr>
              <w:t xml:space="preserve">II. Транспортных средств в отношении установки элементов специального оборудования официально утвержденного типа для использования в их двигателях компримированного природного газа (КПГ)" Правила ООН № 110-01 "Единообразные предписания, касающиеся официального утверждения:</w:t>
            </w:r>
          </w:p>
          <w:p>
            <w:pPr>
              <w:jc w:val="left"/>
            </w:pPr>
            <w:r>
              <w:rPr>
                <w:rFonts w:ascii="Arial" w:cs="Arial" w:eastAsia="Arial" w:hAnsi="Arial"/>
                <w:sz w:val="24"/>
                <w:szCs w:val="24"/>
              </w:rPr>
              <w:t xml:space="preserve">I. Элементов специального оборудования механических транспортных средств, двигатели которых работают на компримированном природном газе (КПГ) и (или) сжиженном природном газе (СПГ)</w:t>
            </w:r>
          </w:p>
          <w:p>
            <w:pPr>
              <w:jc w:val="left"/>
            </w:pPr>
            <w:r>
              <w:rPr>
                <w:rFonts w:ascii="Arial" w:cs="Arial" w:eastAsia="Arial" w:hAnsi="Arial"/>
                <w:sz w:val="24"/>
                <w:szCs w:val="24"/>
              </w:rPr>
              <w:t xml:space="preserve">II. Транспортных средств в отношении установки элементов специального оборудования официально утвержденного типа для использования в их двигателях компримированного природного газа (КПГ) и (или) сжиженного природного газа (СПГ)"</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Фары ближнего и дальнего света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112-00 "Единообразные предписания, касающиеся официального утверждения автомобильных фар, испускающих асимметричный луч ближнего или дальнего света либо оба луча и оснащенных лампами накаливания и (или) модулями СИД"</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от несанкционированного использования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N1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116-00 "Единообразные предписания, касающиеся защиты автотранспортных средств от несанкционированного использования"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Противопожарные свойства интерьера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 (классы II и III)</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118-00 "Единообразные технические предписания, касающиеся характеристик горения и (или) бензо- или маслоотталкивающих свойств материалов, используемых в конструкции механических транспортных средств определенных категорий"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Угловые фонари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119-00 "Единообразные предписания, касающиеся официального утверждения боковых фонарей механических транспортных средств"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и системы питания на водороде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134-00 "Единообразные предписания, касающиеся официального утверждения механических транспортных средств и их элементов оборудования в отношении связанных с обеспечением безопасности эксплуатационных характеристик транспортных средств, работающих на водороде (ТСВТЭ)"</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Внутренний шум</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27435-87 "Внутренний шум автотранспортных средств. Допустимые уровни и методы измерений"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51616-2000 "Автомобильные транспортные средства. Шум внутренний. Допустимые уровни и методы испытаний"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33555-2015 "Автомобильные транспортные средства. Шум внутренний. Допустимые уровни и методы испытаний"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Вентиляция и отопление</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50993-96 "Автотранспортные средства. Системы отопления, вентиляции и кондиционирования. Требования к эффективности и безопасности"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30593-2015 "Автомобильные транспортные средства. Системы отопления, вентиляции и кондиционирования. Требования к эффективности и безопасности"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вредных (загрязняющих) веществ в воздухе обитаемого помещения транспортного средства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1005-88 "Система стандартов безопасности труда. Общие санитарно-гигиенические требования к воздуху рабочей зоны"</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51206-2004 "Автотранспортные средства. Содержание загрязняющих веществ в воздухе пассажирского помещения и кабины. Нормы и методы испытаний"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"Единообразные предписания, касающиеся официального утверждения боковых фонарей механических транспортных средств"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33554-2015 "Автомобильные транспортные средства. Содержание загрязняющих веществ в воздухе кабины водителя и пассажирского помещения. Технические требования и методы испытаний"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Управляемость и устойчивость</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52302-2004 "Автотранспортные средства. Управляемость и устойчивость. Технические требования. Методы испытаний"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31507-2012 "Автотранспортные средства. Управляемость и устойчивость. Технические требования. Методы испытаний"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Обзорность с места водителя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51266-99 "Автомобильные транспортные средства. Обзорность с места водителя. Технические требования. Методы испытаний"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125-00 "Единообразные предписания, касающиеся официального утверждения механических транспортных средств в отношении поля обзора водителя спереди"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для перевозки инвалидов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 М3</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50844-95 "Автобусы для перевозки инвалидов. Общие технические требования"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для перевозки детей</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 М3</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51160-98 "Автобусы для перевозки детей. Технические требования"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33552-2015 "Автобусы для перевозки детей. Технические требования и методы испытаний"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Выбросы</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максимальной массой свыше 3,5 т, М2, М3, N2, N3 с бензиновыми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- 85 г/кВт•ч, </w:t>
            </w:r>
            <w:r>
              <w:rPr>
                <w:rFonts w:ascii="Arial" w:cs="Arial" w:eastAsia="Arial" w:hAnsi="Arial"/>
                <w:sz w:val="24"/>
                <w:szCs w:val="24"/>
              </w:rPr>
              <w:t xml:space="preserve">CmHn</w:t>
            </w:r>
            <w:r>
              <w:rPr>
                <w:rFonts w:ascii="Arial" w:cs="Arial" w:eastAsia="Arial" w:hAnsi="Arial"/>
                <w:sz w:val="24"/>
                <w:szCs w:val="24"/>
              </w:rPr>
              <w:t xml:space="preserve"> - 5 г/кВт•ч, NOx - 17 г/кВт•ч (9-режимный испытательный цикл, экологический класс 0)</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- 72 г/кВт•ч, CmHn - 4 г/кВт•ч, NOx - 14 г/кВт•ч (9-режимный испытательный цикл, экологический класс 1)</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- 55 г/кВт•ч, CmHn - 2,4 г/кВт•ч, NOx - 10 г/кВт•ч (при испытаниях по Правилам ООН № 49-03, испытательный цикл ESC, экологический класс 2)</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- 20 г/кВт•ч, CmHn - 1,1 г/кВт•ч, NOx - 7 г/кВт•ч (при испытаниях по Правилам ООН № 49-03, испытательный цикл ESC, экологический класс 3)</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- 4 г/кВт•ч, CmHn - 0,55 г/кВт•ч, NOx - 2 г/кВт•ч (при испытаниях по Правилам ООН № 49-03, испытательный цикл ЕТС, экологический класс 4)</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устройством вызова экстренных оперативных служб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N3 экологического класса 3 и выше, M</w:t>
            </w:r>
            <w:r>
              <w:rPr>
                <w:rFonts w:ascii="Arial" w:cs="Arial" w:eastAsia="Arial" w:hAnsi="Arial"/>
                <w:sz w:val="24"/>
                <w:szCs w:val="24"/>
              </w:rPr>
              <w:t xml:space="preserve">1</w:t>
            </w:r>
            <w:r>
              <w:rPr>
                <w:rFonts w:ascii="Arial" w:cs="Arial" w:eastAsia="Arial" w:hAnsi="Arial"/>
                <w:sz w:val="24"/>
                <w:szCs w:val="24"/>
              </w:rPr>
              <w:t xml:space="preserve">, М2, М3, N1, N2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Работоспособность устройства вызова экстренных оперативных служб (далее в настоящем пункте - устройство) обеспечивается при температуре окружающего воздуха от -40 ºС до +85 ºС. Для резервной батареи (при наличии) допускается минимальная рабочая температура не выше -20 ºС; работоспособность устройства и его крепления на транспортном средстве сохраняются при нагрузках, возникающих при проведении динамических испытаний в соответствии с добавлением к приложению 9 к Правилам ООН № 17;</w:t>
            </w:r>
          </w:p>
          <w:p>
            <w:pPr>
              <w:jc w:val="left"/>
            </w:pPr>
            <w:r>
              <w:rPr>
                <w:rFonts w:ascii="Arial" w:cs="Arial" w:eastAsia="Arial" w:hAnsi="Arial"/>
                <w:sz w:val="24"/>
                <w:szCs w:val="24"/>
              </w:rPr>
              <w:t xml:space="preserve">устройство имеет персональную идентификационную карту абонента для работы в сетях подвижной радиотелефонной связи стандартов GSM 900 и 1800, а также UMTS 900 и 2000;</w:t>
            </w:r>
          </w:p>
          <w:p>
            <w:pPr>
              <w:jc w:val="left"/>
            </w:pPr>
            <w:r>
              <w:rPr>
                <w:rFonts w:ascii="Arial" w:cs="Arial" w:eastAsia="Arial" w:hAnsi="Arial"/>
                <w:sz w:val="24"/>
                <w:szCs w:val="24"/>
              </w:rPr>
              <w:t xml:space="preserve">устройство обеспечивает:</w:t>
            </w:r>
          </w:p>
          <w:p>
            <w:pPr>
              <w:jc w:val="left"/>
            </w:pPr>
            <w:r>
              <w:rPr>
                <w:rFonts w:ascii="Arial" w:cs="Arial" w:eastAsia="Arial" w:hAnsi="Arial"/>
                <w:sz w:val="24"/>
                <w:szCs w:val="24"/>
              </w:rPr>
              <w:t xml:space="preserve">передачу сообщения о транспортном средстве, его текущем местоположении, направлении и скорости движения после нажатия кнопки экстренного вызова двухстороннюю громкую голосовую связь с экстренными оперативными службами через сети подвижной радиотелефонной связи;</w:t>
            </w:r>
          </w:p>
          <w:p>
            <w:pPr>
              <w:jc w:val="left"/>
            </w:pPr>
            <w:r>
              <w:rPr>
                <w:rFonts w:ascii="Arial" w:cs="Arial" w:eastAsia="Arial" w:hAnsi="Arial"/>
                <w:sz w:val="24"/>
                <w:szCs w:val="24"/>
              </w:rPr>
              <w:t xml:space="preserve">определение местоположения с погрешностью не более 15 м по координатным осям при доверительной вероятности 0,95;</w:t>
            </w:r>
          </w:p>
          <w:p>
            <w:pPr>
              <w:jc w:val="left"/>
            </w:pPr>
            <w:r>
              <w:rPr>
                <w:rFonts w:ascii="Arial" w:cs="Arial" w:eastAsia="Arial" w:hAnsi="Arial"/>
                <w:sz w:val="24"/>
                <w:szCs w:val="24"/>
              </w:rPr>
              <w:t xml:space="preserve">установление двухстороннего дуплексного голосового соединения в режиме громкой связи с оператором экстренных оперативных служб передачу сообщения о транспортном средстве с использованием тонального модема, работающего в сетях подвижной радиотелефонной связи стандартов GSM 900 и 1800, UMTS 900 и 2000; обязательные признаки приоритетности экстренного вызова в сетях подвижной радиотелефонной связи стандартов GSM 900 и 1800, UMTS 900 и 2000;</w:t>
            </w:r>
          </w:p>
          <w:p>
            <w:pPr>
              <w:jc w:val="left"/>
            </w:pPr>
            <w:r>
              <w:rPr>
                <w:rFonts w:ascii="Arial" w:cs="Arial" w:eastAsia="Arial" w:hAnsi="Arial"/>
                <w:sz w:val="24"/>
                <w:szCs w:val="24"/>
              </w:rPr>
              <w:t xml:space="preserve">при отсутствии поддержки устройством тонального модема передача информации осуществляется посредством использования коротких текстовых сообщений (далее - СМС);</w:t>
            </w:r>
          </w:p>
          <w:p>
            <w:pPr>
              <w:jc w:val="left"/>
            </w:pPr>
            <w:r>
              <w:rPr>
                <w:rFonts w:ascii="Arial" w:cs="Arial" w:eastAsia="Arial" w:hAnsi="Arial"/>
                <w:sz w:val="24"/>
                <w:szCs w:val="24"/>
              </w:rPr>
              <w:t xml:space="preserve">возможность повторной передачи информации с использованием тонального модема, работающего через установленное голосовое соединение, и посредством использования СМС в сетях подвижной радиотелефонной связи стандартов GSM 900 и 1800, UMTS 900 и 2000;</w:t>
            </w:r>
          </w:p>
          <w:p>
            <w:pPr>
              <w:jc w:val="left"/>
            </w:pPr>
            <w:r>
              <w:rPr>
                <w:rFonts w:ascii="Arial" w:cs="Arial" w:eastAsia="Arial" w:hAnsi="Arial"/>
                <w:sz w:val="24"/>
                <w:szCs w:val="24"/>
              </w:rPr>
              <w:t xml:space="preserve">после завершения экстренного вызова прием команды на осуществление повторного экстренного вызова, поступающей в виде СМС, и осуществление повторного экстренного вызова в течение настраиваемого промежутка времени;</w:t>
            </w:r>
          </w:p>
          <w:p>
            <w:pPr>
              <w:jc w:val="left"/>
            </w:pPr>
            <w:r>
              <w:rPr>
                <w:rFonts w:ascii="Arial" w:cs="Arial" w:eastAsia="Arial" w:hAnsi="Arial"/>
                <w:sz w:val="24"/>
                <w:szCs w:val="24"/>
              </w:rPr>
              <w:t xml:space="preserve">отключение при осуществлении экстренного вызова иных средств воспроизведения звука на транспортном средстве на период голосового соединения, за исключением средств специальной связи при невозможности передачи информации посредством использования сетей подвижной радиотелефонной связи стандартов GSM 900 и 1800, UMTS 900 и 2000; сохранение в энергонезависимой памяти непереданной информации и передачу ее при восстановлении такой возможности автоматический прием входящих телефонных вызовов в течение не менее 20 минут после завершения экстренного вызова;</w:t>
            </w:r>
          </w:p>
          <w:p>
            <w:pPr>
              <w:jc w:val="left"/>
            </w:pPr>
            <w:r>
              <w:rPr>
                <w:rFonts w:ascii="Arial" w:cs="Arial" w:eastAsia="Arial" w:hAnsi="Arial"/>
                <w:sz w:val="24"/>
                <w:szCs w:val="24"/>
              </w:rPr>
              <w:t xml:space="preserve">подключение к бортовой электрической сети транспортного средства, обеспечивающее работу устройства во всех предусмотренных режимах, а также зарядку резервной батареи питания (при наличии) при отсутствии питания от бортовой электрической сети возможность автономной работы за счет использования резервной батареи в течение не менее 60 минут в режиме ожидания обратного звонка и в дальнейшем не менее 10 минут работы в режиме голосовой связи. Срок службы резервной батареи составляет не менее трех лет;</w:t>
            </w:r>
          </w:p>
          <w:p>
            <w:pPr>
              <w:jc w:val="left"/>
            </w:pPr>
            <w:r>
              <w:rPr>
                <w:rFonts w:ascii="Arial" w:cs="Arial" w:eastAsia="Arial" w:hAnsi="Arial"/>
                <w:sz w:val="24"/>
                <w:szCs w:val="24"/>
              </w:rPr>
              <w:t xml:space="preserve">возможность проверки своей работоспособности в ручном режиме и информирование о своей неисправности посредством оптического индикатора состояния устройства или соответствующего сообщения на комбинации приборов возможность передачи результатов тестирования устройства посредством использования сетей подвижной радиотелефонной связи стандартов GSM 900 и 1800, UMTS 900 и 2000;</w:t>
            </w:r>
          </w:p>
          <w:p>
            <w:pPr>
              <w:jc w:val="left"/>
            </w:pPr>
            <w:r>
              <w:rPr>
                <w:rFonts w:ascii="Arial" w:cs="Arial" w:eastAsia="Arial" w:hAnsi="Arial"/>
                <w:sz w:val="24"/>
                <w:szCs w:val="24"/>
              </w:rPr>
              <w:t xml:space="preserve">установка антенн устройства обеспечивает в рабочем положении транспортного средства устойчивый прием сигналов не менее двух действующих глобальных навигационных спутниковых систем и в любом положении транспортного средства устойчивую связь по сетям подвижной радиотелефонной связи, обеспечивающим прием и передачу сигналов стандартов GSM 1800, а также UMTS 900 и 2000;</w:t>
            </w:r>
          </w:p>
          <w:p>
            <w:pPr>
              <w:jc w:val="left"/>
            </w:pPr>
            <w:r>
              <w:rPr>
                <w:rFonts w:ascii="Arial" w:cs="Arial" w:eastAsia="Arial" w:hAnsi="Arial"/>
                <w:sz w:val="24"/>
                <w:szCs w:val="24"/>
              </w:rPr>
              <w:t xml:space="preserve">кнопка вызова экстренных оперативных служб должна устанавливаться в месте, которое находится в зоне прямой видимости с места водителя и сидящего впереди пассажира - мужчины 50-перцентильного уровня репрезентативности (если конструкция транспортного средства предусматривает нахождение сидящего впереди пассажира рядом с местом водителя) и обеспечивает возможность досягаемости ими кнопки вызова без отсоединения ремней безопасности;</w:t>
            </w:r>
          </w:p>
          <w:p>
            <w:pPr>
              <w:jc w:val="left"/>
            </w:pPr>
            <w:r>
              <w:rPr>
                <w:rFonts w:ascii="Arial" w:cs="Arial" w:eastAsia="Arial" w:hAnsi="Arial"/>
                <w:sz w:val="24"/>
                <w:szCs w:val="24"/>
              </w:rPr>
              <w:t xml:space="preserve">кнопка вызова экстренных оперативных служб должна иметь защиту от непреднамеренного нажатия механическим способом;</w:t>
            </w:r>
          </w:p>
          <w:p>
            <w:pPr>
              <w:jc w:val="left"/>
            </w:pPr>
            <w:r>
              <w:rPr>
                <w:rFonts w:ascii="Arial" w:cs="Arial" w:eastAsia="Arial" w:hAnsi="Arial"/>
                <w:sz w:val="24"/>
                <w:szCs w:val="24"/>
              </w:rPr>
              <w:t xml:space="preserve">кнопка вызова экстренных оперативных служб должна быть обеспечена подсветкой;</w:t>
            </w:r>
          </w:p>
          <w:p>
            <w:pPr>
              <w:jc w:val="left"/>
            </w:pPr>
            <w:r>
              <w:rPr>
                <w:rFonts w:ascii="Arial" w:cs="Arial" w:eastAsia="Arial" w:hAnsi="Arial"/>
                <w:sz w:val="24"/>
                <w:szCs w:val="24"/>
              </w:rPr>
              <w:t xml:space="preserve">оптический индикатор состояния устройства красного цвета постоянного (немигающего) свечения, видимый в том числе в светлое время суток, размещается в области прямой видимости с места водителя и сидящего впереди пассажира;</w:t>
            </w:r>
          </w:p>
          <w:p>
            <w:pPr>
              <w:jc w:val="left"/>
            </w:pPr>
            <w:r>
              <w:rPr>
                <w:rFonts w:ascii="Arial" w:cs="Arial" w:eastAsia="Arial" w:hAnsi="Arial"/>
                <w:sz w:val="24"/>
                <w:szCs w:val="24"/>
              </w:rPr>
              <w:t xml:space="preserve">оптический индикатор состояния устройства включается:</w:t>
            </w:r>
          </w:p>
          <w:p>
            <w:pPr>
              <w:jc w:val="left"/>
            </w:pPr>
            <w:r>
              <w:rPr>
                <w:rFonts w:ascii="Arial" w:cs="Arial" w:eastAsia="Arial" w:hAnsi="Arial"/>
                <w:sz w:val="24"/>
                <w:szCs w:val="24"/>
              </w:rPr>
              <w:t xml:space="preserve">кратковременно (от 3 до 10 секунд) при подаче электроэнергии на электрическое оборудование транспортного средства при переводе включателя зажигания (пускового переключателя) в положение "включено" (рабочее положение)</w:t>
            </w:r>
          </w:p>
          <w:p>
            <w:pPr>
              <w:jc w:val="left"/>
            </w:pPr>
            <w:r>
              <w:rPr>
                <w:rFonts w:ascii="Arial" w:cs="Arial" w:eastAsia="Arial" w:hAnsi="Arial"/>
                <w:sz w:val="24"/>
                <w:szCs w:val="24"/>
              </w:rPr>
              <w:t xml:space="preserve">при возникновении (наличии) неисправности в системе, не позволяющей выполнять требования по передаче сообщения о транспортном средстве, его текущем местоположении, направлении и скорости движения после нажатия кнопки экстренного вызова и (или) требований по обеспечению двусторонней громкой голосовой связи с экстренными оперативными службами через сети подвижной радиосвязи. Оптический индикатор состояния устройства остается включенным в течение всего времени наличия неисправности при нахождении включателя зажигания (пускового переключателя) в положении "включено" (рабочем положении);</w:t>
            </w:r>
          </w:p>
          <w:p>
            <w:pPr>
              <w:jc w:val="left"/>
            </w:pPr>
            <w:r>
              <w:rPr>
                <w:rFonts w:ascii="Arial" w:cs="Arial" w:eastAsia="Arial" w:hAnsi="Arial"/>
                <w:sz w:val="24"/>
                <w:szCs w:val="24"/>
              </w:rPr>
              <w:t xml:space="preserve">кнопка вызова экстренных оперативных служб и оптический индикатор состояния устройства должны иметь идентифицирующие их символы. Оптический индикатор состояния устройства может конструктивно совмещаться с кнопкой вызова экстренных оперативных служб;</w:t>
            </w:r>
          </w:p>
          <w:p>
            <w:pPr>
              <w:jc w:val="left"/>
            </w:pPr>
            <w:r>
              <w:rPr>
                <w:rFonts w:ascii="Arial" w:cs="Arial" w:eastAsia="Arial" w:hAnsi="Arial"/>
                <w:sz w:val="24"/>
                <w:szCs w:val="24"/>
              </w:rPr>
              <w:t xml:space="preserve">испытания устройства осуществляются в соответствии: с подпунктом 12 ГОСТ 33468-2015 "Глобальная навигационная спутниковая система. Система экстренного реагирования при авариях. Методы испытаний устройства (системы) вызова экстренных оперативных служб на соответствие требованиям к качеству громкоговорящей связи в кабине транспортного средства" с подпунктом 1 ГОСТ 33471-2015 "Глобальная навигационная спутниковая система. Система экстренного реагирования при авариях. Методы испытаний навигационного модуля устройства (системы) вызова экстренных оперативных служб" с пунктами 6 и 7 ГОСТ 33470-2015 "Глобальная навигационная спутниковая система. Система экстренного реагирования при авариях. Методы испытаний модулей беспроводной связи устройства (системы) вызова экстренных оперативных служб" (на одном образце) с подпунктами 2-7 ГОСТ 33467-2015 "Глобальная навигационная спутниковая система. Система экстренного реагирования при авариях. Методы функционального тестирования устройства (системы) вызова экстренных оперативных служб и протоколов передачи данных" (на одном образце только в ручном режиме);</w:t>
            </w:r>
          </w:p>
          <w:p>
            <w:pPr>
              <w:jc w:val="left"/>
            </w:pPr>
            <w:r>
              <w:rPr>
                <w:rFonts w:ascii="Arial" w:cs="Arial" w:eastAsia="Arial" w:hAnsi="Arial"/>
                <w:sz w:val="24"/>
                <w:szCs w:val="24"/>
              </w:rPr>
              <w:t xml:space="preserve">испытания транспортного средства в отношении установки устройства осуществляются в соответствии с пунктом 8 ГОСТ 33469-2015 "Глобальная навигационная спутниковая система. Система экстренного реагирования при авариях. Методы испытаний устройства (системы) вызова экстренных оперативных служб на соответствие требованиям по определению момента аварии" (кроме подпунктов 1 и 2). В отношении требований, для проверки которых настоящим пунктом методы испытаний не установлены, проверка не проводится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государственных регистрационных знаков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4 приложения 7 к техническому регламенту</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Маркировка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51980-2002 "Транспортные средства. Маркировка. Общие технические требования"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33990-2016 "Транспортные средства. Маркировка. Технические требования"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Технические требования при оценке соответствия транспортных средств (далее - требования) применяются в соответствии с областью применения и с учетом переходных положений, установленных в Правилах ООН.</w:t>
      </w:r>
    </w:p>
    <w:p>
      <w:pPr>
        <w:spacing w:after="60"/>
        <w:ind w:firstLine="567"/>
        <w:jc w:val="both"/>
      </w:pPr>
      <w:r>
        <w:rPr>
          <w:rFonts w:ascii="Arial" w:cs="Arial" w:eastAsia="Arial" w:hAnsi="Arial"/>
          <w:sz w:val="24"/>
          <w:szCs w:val="24"/>
        </w:rPr>
        <w:t xml:space="preserve">2. При предъявлении требований применяются примечания, приведенные в приложении № 2 к техническому регламенту.</w:t>
      </w:r>
    </w:p>
    <w:p>
      <w:pPr>
        <w:spacing w:after="60"/>
        <w:ind w:firstLine="567"/>
        <w:jc w:val="both"/>
      </w:pPr>
      <w:r>
        <w:rPr>
          <w:rFonts w:ascii="Arial" w:cs="Arial" w:eastAsia="Arial" w:hAnsi="Arial"/>
          <w:sz w:val="24"/>
          <w:szCs w:val="24"/>
        </w:rPr>
        <w:t xml:space="preserve">3. Разрешается альтернативное применение требований более высокого уровня.</w:t>
      </w:r>
    </w:p>
    <w:p>
      <w:pPr>
        <w:spacing w:after="60"/>
        <w:ind w:firstLine="567"/>
        <w:jc w:val="both"/>
      </w:pPr>
      <w:r>
        <w:rPr>
          <w:rFonts w:ascii="Arial" w:cs="Arial" w:eastAsia="Arial" w:hAnsi="Arial"/>
          <w:sz w:val="24"/>
          <w:szCs w:val="24"/>
        </w:rPr>
        <w:t xml:space="preserve">4. При проведении испытаний в отношении внешнего и внутреннего шума требования к испытательной площадке не учитываются.</w:t>
      </w:r>
    </w:p>
    <w:p>
      <w:pPr>
        <w:spacing w:after="60"/>
        <w:ind w:firstLine="567"/>
        <w:jc w:val="both"/>
      </w:pPr>
      <w:r>
        <w:rPr>
          <w:rFonts w:ascii="Arial" w:cs="Arial" w:eastAsia="Arial" w:hAnsi="Arial"/>
          <w:sz w:val="24"/>
          <w:szCs w:val="24"/>
        </w:rPr>
        <w:t xml:space="preserve">5. Если в качестве доказательственного материала по требованиям представлено сообщение об официальном утверждении типа транспортного средства по Правилам ООН, то представление копий сообщений об официальном утверждении в отношении отдельных типов компонентов, подпадающих под действие этих Правил ООН и указанных в сообщении об официальном утверждении типа транспортного средства, не обязательно.</w:t>
      </w:r>
    </w:p>
    <w:p>
      <w:pPr>
        <w:spacing w:after="60"/>
        <w:ind w:firstLine="567"/>
        <w:jc w:val="both"/>
      </w:pPr>
      <w:r>
        <w:rPr>
          <w:rFonts w:ascii="Arial" w:cs="Arial" w:eastAsia="Arial" w:hAnsi="Arial"/>
          <w:sz w:val="24"/>
          <w:szCs w:val="24"/>
        </w:rPr>
        <w:t xml:space="preserve">6. Конструкция выпускаемых в обращение транспортных средств категорий М2 и М3, осуществляющих коммерческие перевозки пассажиров, категорий N2 и N3, осуществляющих коммерческие перевозки грузов, должна предусматривать возможность оснащения (штатные места установки, крепления, энергопитания) техническими средствами контроля за соблюдением водителями режимов движения, труда и отдыха (тахографами).</w:t>
      </w:r>
    </w:p>
    <w:p>
      <w:pPr>
        <w:spacing w:after="60"/>
        <w:ind w:firstLine="567"/>
        <w:jc w:val="both"/>
      </w:pPr>
      <w:r>
        <w:rPr>
          <w:rFonts w:ascii="Arial" w:cs="Arial" w:eastAsia="Arial" w:hAnsi="Arial"/>
          <w:sz w:val="24"/>
          <w:szCs w:val="24"/>
        </w:rPr>
        <w:t xml:space="preserve">7. Допускается оснащение транспортных средств устройством вызова экстренных оперативных служб, соответствующим требованиям Технического регламента.</w:t>
      </w:r>
    </w:p>
    <w:p>
      <w:pPr>
        <w:spacing w:after="60"/>
        <w:ind w:firstLine="567"/>
        <w:jc w:val="both"/>
      </w:pPr>
      <w:r>
        <w:rPr>
          <w:rFonts w:ascii="Arial" w:cs="Arial" w:eastAsia="Arial" w:hAnsi="Arial"/>
          <w:sz w:val="24"/>
          <w:szCs w:val="24"/>
        </w:rPr>
        <w:t xml:space="preserve">Допускается не оснащать транспортные средства устройством вызова экстренных оперативных служб при выпуске в обращение и реализации на территории Кыргызской Республики.</w:t>
      </w:r>
    </w:p>
    <w:p>
      <w:pPr>
        <w:spacing w:after="60"/>
        <w:ind w:firstLine="567"/>
        <w:jc w:val="both"/>
      </w:pPr>
      <w:r>
        <w:rPr>
          <w:rFonts w:ascii="Arial" w:cs="Arial" w:eastAsia="Arial" w:hAnsi="Arial"/>
          <w:sz w:val="24"/>
          <w:szCs w:val="24"/>
        </w:rPr>
        <w:t xml:space="preserve">8. Допускается не оснащать транспортные средства антиблокировочной системой тормозов.</w:t>
      </w:r>
    </w:p>
    <w:p>
      <w:pPr>
        <w:spacing w:after="60"/>
        <w:ind w:firstLine="567"/>
        <w:jc w:val="both"/>
      </w:pPr>
      <w:r>
        <w:rPr>
          <w:rFonts w:ascii="Arial" w:cs="Arial" w:eastAsia="Arial" w:hAnsi="Arial"/>
          <w:sz w:val="24"/>
          <w:szCs w:val="24"/>
        </w:rPr>
        <w:t xml:space="preserve">9. Установка каталитического нейтрализатора является обязательной в случае, если конструкцией транспортного средства предусмотрено его наличие.</w:t>
      </w:r>
    </w:p>
    <w:p>
      <w:pPr>
        <w:spacing w:after="60"/>
        <w:ind w:firstLine="567"/>
        <w:jc w:val="both"/>
      </w:pPr>
      <w:r>
        <w:rPr>
          <w:rFonts w:ascii="Arial" w:cs="Arial" w:eastAsia="Arial" w:hAnsi="Arial"/>
          <w:sz w:val="24"/>
          <w:szCs w:val="24"/>
        </w:rPr>
        <w:t xml:space="preserve">10. Допускается отсутствие оптического индикатора в составе устройства вызова экстренных оперативных служб, удовлетворяющего требованиям, указанным в пункте 67 настоящего приложения, в случае обеспечения возможности подтверждения его исправности при каждой подаче электроэнергии на электрическое оборудование транспортного средства при переводе включателя зажигания (пускового переключателя) в положение "включено" (рабочее положение) посредством использования другого оптического индикатора, а также выведения на комбинацию приборов текстового сообщения о неисправности данного устройства, которое сохраняется в течение всего времени наличия неисправности при нахождении включателя зажигания (пускового переключателя) в положении "включено" (рабочем положении).</w:t>
      </w:r>
    </w:p>
    <w:p>
      <w:pPr>
        <w:spacing w:after="60"/>
        <w:ind w:firstLine="567"/>
        <w:jc w:val="both"/>
      </w:pPr>
      <w:r>
        <w:rPr>
          <w:rFonts w:ascii="Arial" w:cs="Arial" w:eastAsia="Arial" w:hAnsi="Arial"/>
          <w:sz w:val="24"/>
          <w:szCs w:val="24"/>
        </w:rPr>
        <w:t xml:space="preserve">11. В отношении специальных и специализированных транспортных средств дополнительно оценивается выполнение требований приложения № 6 к техническому регламенту.</w:t>
      </w:r>
    </w:p>
    <w:p>
      <w:pPr>
        <w:spacing w:after="60"/>
        <w:ind w:firstLine="567"/>
        <w:jc w:val="both"/>
      </w:pPr>
      <w:r>
        <w:rPr>
          <w:rFonts w:ascii="Arial" w:cs="Arial" w:eastAsia="Arial" w:hAnsi="Arial"/>
          <w:sz w:val="24"/>
          <w:szCs w:val="24"/>
        </w:rPr>
        <w:t xml:space="preserve">12. В отношении транспортных средств с бензиновыми двигателями допускается эксплуатация автомобилей экологического класса от "Евро - 0" до "Евро - 5".</w:t>
      </w:r>
    </w:p>
    <w:p>
      <w:pPr>
        <w:spacing w:after="60"/>
        <w:ind w:firstLine="567"/>
        <w:jc w:val="both"/>
      </w:pPr>
      <w:r>
        <w:rPr>
          <w:rFonts w:ascii="Arial" w:cs="Arial" w:eastAsia="Arial" w:hAnsi="Arial"/>
          <w:sz w:val="24"/>
          <w:szCs w:val="24"/>
        </w:rPr>
        <w:t xml:space="preserve">13. Пункты, указанные в Перечне, применяются в случае их установки на транспортном средстве.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временных требованиях и порядке проведения оценки соответствия отдельных колесных транспортных средств</w:t>
      </w:r>
    </w:p>
    <w:p>
      <w:pPr>
        <w:spacing w:after="400" w:before="400"/>
        <w:jc w:val="center"/>
      </w:pPr>
      <w:r>
        <w:rPr>
          <w:rFonts w:ascii="Arial" w:cs="Arial" w:eastAsia="Arial" w:hAnsi="Arial"/>
          <w:b/>
          <w:bCs/>
          <w:sz w:val="32"/>
          <w:szCs w:val="32"/>
        </w:rPr>
        <w:t xml:space="preserve">ЗАКЛЮЧЕНИЕ
 об оценке типа транспортного средства
 № ________________________________</w:t>
      </w:r>
    </w:p>
    <w:p>
      <w:pPr>
        <w:spacing w:after="60"/>
        <w:jc w:val="center"/>
      </w:pPr>
      <w:r>
        <w:rPr>
          <w:rFonts w:ascii="Arial" w:cs="Arial" w:eastAsia="Arial" w:hAnsi="Arial"/>
          <w:sz w:val="24"/>
          <w:szCs w:val="24"/>
        </w:rPr>
        <w:t xml:space="preserve">Срок действия с ____________________ по _____________________
 Орган по сертификации ______________________________________
 (полное и сокращенное наименование, адрес, номер,
 __________________________________________________________
 окончание срока действия аттестата аккредитации)</w:t>
      </w:r>
    </w:p>
    <w:p>
      <w:pPr>
        <w:spacing w:after="200" w:before="200"/>
        <w:jc w:val="center"/>
      </w:pPr>
      <w:r>
        <w:rPr>
          <w:rFonts w:ascii="Arial" w:cs="Arial" w:eastAsia="Arial" w:hAnsi="Arial"/>
          <w:b/>
          <w:bCs/>
          <w:sz w:val="32"/>
          <w:szCs w:val="32"/>
        </w:rPr>
        <w:t xml:space="preserve">ТРАНСПОРТНОЕ СРЕДСТВО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МАРКА</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КОММЕРЧЕСКОЕ НАИМЕНОВАНИЕ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БАЗОВОЕ ТРАНСПОРТНОЕ СРЕДСТВО (ШАССИ)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при использовании базового транспортного средства (шасси) другого изготовителя)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МОДИФИКАЦИИ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ЭКОЛОГИЧЕСКИИ КЛАСС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ЗАЯВИТЕЛЬ И ЕГО АДРЕС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ИЗГОТОВИТЕЛЬ И ЕГО АДРЕС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СБОРОЧНЫЙ ЗАВОД И ЕГО АДРЕС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Транспортное средство соответствует техническим требованиям, установленным в приложении 1 к Положению о временных требованиях и порядке проведения оценки соответствия отдельных колесных транспортных средств.</w:t>
      </w:r>
    </w:p>
    <w:p>
      <w:pPr>
        <w:spacing w:after="60"/>
        <w:ind w:firstLine="567"/>
        <w:jc w:val="both"/>
      </w:pPr>
      <w:r>
        <w:rPr>
          <w:rFonts w:ascii="Arial" w:cs="Arial" w:eastAsia="Arial" w:hAnsi="Arial"/>
          <w:sz w:val="24"/>
          <w:szCs w:val="24"/>
        </w:rPr>
        <w:t xml:space="preserve">Действие заключения об оценке типа транспортного средства распространяется на серийно выпускаемую продукцию (партию транспортных средств) в количестве ______ штук с идентификационными номерами (VIN) с ________________ по _________________.</w:t>
      </w:r>
    </w:p>
    <w:p>
      <w:pPr>
        <w:spacing w:after="60"/>
        <w:ind w:firstLine="567"/>
        <w:jc w:val="both"/>
      </w:pPr>
      <w:r>
        <w:rPr>
          <w:rFonts w:ascii="Arial" w:cs="Arial" w:eastAsia="Arial" w:hAnsi="Arial"/>
          <w:sz w:val="24"/>
          <w:szCs w:val="24"/>
        </w:rPr>
        <w:t xml:space="preserve">Заключение об оценке типа транспортного средства не действительно без:</w:t>
      </w:r>
    </w:p>
    <w:p>
      <w:pPr>
        <w:spacing w:after="60"/>
        <w:ind w:firstLine="567"/>
        <w:jc w:val="both"/>
      </w:pPr>
      <w:r>
        <w:rPr>
          <w:rFonts w:ascii="Arial" w:cs="Arial" w:eastAsia="Arial" w:hAnsi="Arial"/>
          <w:sz w:val="24"/>
          <w:szCs w:val="24"/>
        </w:rPr>
        <w:t xml:space="preserve">приложения 1 "Общие характеристики транспортного средства";</w:t>
      </w:r>
    </w:p>
    <w:p>
      <w:pPr>
        <w:spacing w:after="60"/>
        <w:ind w:firstLine="567"/>
        <w:jc w:val="both"/>
      </w:pPr>
      <w:r>
        <w:rPr>
          <w:rFonts w:ascii="Arial" w:cs="Arial" w:eastAsia="Arial" w:hAnsi="Arial"/>
          <w:sz w:val="24"/>
          <w:szCs w:val="24"/>
        </w:rPr>
        <w:t xml:space="preserve">приложения 2 "Перечень документов, явившихся основанием для оформления заключения об оценке типа транспортного средства";</w:t>
      </w:r>
    </w:p>
    <w:p>
      <w:pPr>
        <w:spacing w:after="60"/>
        <w:ind w:firstLine="567"/>
        <w:jc w:val="both"/>
      </w:pPr>
      <w:r>
        <w:rPr>
          <w:rFonts w:ascii="Arial" w:cs="Arial" w:eastAsia="Arial" w:hAnsi="Arial"/>
          <w:sz w:val="24"/>
          <w:szCs w:val="24"/>
        </w:rPr>
        <w:t xml:space="preserve">приложения 3 "Описание маркировки транспортного средства";</w:t>
      </w:r>
    </w:p>
    <w:p>
      <w:pPr>
        <w:spacing w:after="60"/>
        <w:ind w:firstLine="567"/>
        <w:jc w:val="both"/>
      </w:pPr>
      <w:r>
        <w:rPr>
          <w:rFonts w:ascii="Arial" w:cs="Arial" w:eastAsia="Arial" w:hAnsi="Arial"/>
          <w:sz w:val="24"/>
          <w:szCs w:val="24"/>
        </w:rPr>
        <w:t xml:space="preserve">приложения 4 "Общий вид транспортного средства" (на ____ страницах).</w:t>
      </w:r>
    </w:p>
    <w:p>
      <w:pPr>
        <w:spacing w:after="60"/>
        <w:ind w:firstLine="567"/>
        <w:jc w:val="both"/>
      </w:pPr>
      <w:r>
        <w:rPr>
          <w:rFonts w:ascii="Arial" w:cs="Arial" w:eastAsia="Arial" w:hAnsi="Arial"/>
          <w:sz w:val="24"/>
          <w:szCs w:val="24"/>
        </w:rPr>
        <w:t xml:space="preserve">Дополнительная информация ___________________________________________________________________</w:t>
      </w:r>
    </w:p>
    <w:p>
      <w:pPr>
        <w:spacing w:after="60"/>
        <w:ind w:firstLine="567"/>
        <w:jc w:val="both"/>
      </w:pPr>
      <w:r>
        <w:rPr>
          <w:rFonts w:ascii="Arial" w:cs="Arial" w:eastAsia="Arial" w:hAnsi="Arial"/>
          <w:sz w:val="24"/>
          <w:szCs w:val="24"/>
        </w:rPr>
        <w:t xml:space="preserve">                                                                   (при необходимости делается запись</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         об обязательности оформления специального разрешения для передвижения транспортного
           средства по дорогам общего пользования, указываются ограничения  на возможность использования
                      на дорогах общего пользования, для коммерческих пассажирских перевозок и другого)</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органа по сертификации
 (его заместитель)</w:t>
      </w:r>
    </w:p>
    <w:p>
      <w:pPr>
        <w:tabs>
          <w:tab w:val="right" w:pos="10178"/>
        </w:tabs>
        <w:spacing w:after="120"/>
      </w:pPr>
      <w:r>
        <w:rPr>
          <w:rFonts w:ascii="Arial" w:cs="Arial" w:eastAsia="Arial" w:hAnsi="Arial"/>
          <w:sz w:val="24"/>
          <w:szCs w:val="24"/>
        </w:rPr>
        <w:t xml:space="preserve">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Заключение об оценке типа транспортного средства утверждено.</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Директор Центра по стандартизации и метрологии при Министерстве экономики и коммерции Кыргызской Республики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Заключению об оценке типа транспортного средства</w:t>
      </w:r>
    </w:p>
    <w:p>
      <w:pPr>
        <w:spacing w:after="400" w:before="400"/>
        <w:jc w:val="center"/>
      </w:pPr>
      <w:r>
        <w:rPr>
          <w:rFonts w:ascii="Arial" w:cs="Arial" w:eastAsia="Arial" w:hAnsi="Arial"/>
          <w:b/>
          <w:bCs/>
          <w:sz w:val="32"/>
          <w:szCs w:val="32"/>
        </w:rPr>
        <w:t xml:space="preserve">Общие характеристики транспортного средства</w:t>
      </w:r>
    </w:p>
    <w:p>
      <w:pPr>
        <w:spacing w:after="120"/>
        <w:jc w:val="left"/>
      </w:pPr>
      <w:r>
        <w:rPr>
          <w:rFonts w:ascii="Arial" w:cs="Arial" w:eastAsia="Arial" w:hAnsi="Arial"/>
          <w:sz w:val="24"/>
          <w:szCs w:val="24"/>
        </w:rPr>
        <w:t xml:space="preserve">Количество осей/колес (только для транспортных средств категории О) 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48"/>
        <w:gridCol w:w="3330"/>
      </w:tblGrid>
      <w:tr>
        <w:tc>
          <w:tcPr>
            <w:tcW w:type="dxa" w:w="6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Двигатель внутреннего сгорания (марка, тип):</w:t>
            </w:r>
          </w:p>
          <w:p>
            <w:pPr>
              <w:jc w:val="left"/>
            </w:pPr>
            <w:r>
              <w:rPr>
                <w:rFonts w:ascii="Arial" w:cs="Arial" w:eastAsia="Arial" w:hAnsi="Arial"/>
                <w:sz w:val="24"/>
                <w:szCs w:val="24"/>
              </w:rPr>
              <w:t xml:space="preserve">- количество и расположение цилиндров;</w:t>
            </w:r>
          </w:p>
          <w:p>
            <w:pPr>
              <w:jc w:val="left"/>
            </w:pPr>
            <w:r>
              <w:rPr>
                <w:rFonts w:ascii="Arial" w:cs="Arial" w:eastAsia="Arial" w:hAnsi="Arial"/>
                <w:sz w:val="24"/>
                <w:szCs w:val="24"/>
              </w:rPr>
              <w:t xml:space="preserve">- рабочий объем цилиндров, см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 степень сжатия;</w:t>
            </w:r>
          </w:p>
          <w:p>
            <w:pPr>
              <w:jc w:val="left"/>
            </w:pPr>
            <w:r>
              <w:rPr>
                <w:rFonts w:ascii="Arial" w:cs="Arial" w:eastAsia="Arial" w:hAnsi="Arial"/>
                <w:sz w:val="24"/>
                <w:szCs w:val="24"/>
              </w:rPr>
              <w:t xml:space="preserve">- максимальная мощность, кВт (мин</w:t>
            </w:r>
            <w:r>
              <w:rPr>
                <w:rFonts w:ascii="Arial" w:cs="Arial" w:eastAsia="Arial" w:hAnsi="Arial"/>
                <w:sz w:val="24"/>
                <w:szCs w:val="24"/>
              </w:rPr>
              <w:t xml:space="preserve">-1</w:t>
            </w:r>
            <w:r>
              <w:rPr>
                <w:rFonts w:ascii="Arial" w:cs="Arial" w:eastAsia="Arial" w:hAnsi="Arial"/>
                <w:sz w:val="24"/>
                <w:szCs w:val="24"/>
              </w:rPr>
              <w:t xml:space="preserve">);</w:t>
            </w:r>
          </w:p>
          <w:p>
            <w:pPr>
              <w:jc w:val="left"/>
            </w:pPr>
            <w:r>
              <w:rPr>
                <w:rFonts w:ascii="Arial" w:cs="Arial" w:eastAsia="Arial" w:hAnsi="Arial"/>
                <w:sz w:val="24"/>
                <w:szCs w:val="24"/>
              </w:rPr>
              <w:t xml:space="preserve">- максимальный крутящий момент, Н•м (мин</w:t>
            </w:r>
            <w:r>
              <w:rPr>
                <w:rFonts w:ascii="Arial" w:cs="Arial" w:eastAsia="Arial" w:hAnsi="Arial"/>
                <w:sz w:val="24"/>
                <w:szCs w:val="24"/>
              </w:rPr>
              <w:t xml:space="preserve">-1</w:t>
            </w:r>
            <w:r>
              <w:rPr>
                <w:rFonts w:ascii="Arial" w:cs="Arial" w:eastAsia="Arial" w:hAnsi="Arial"/>
                <w:sz w:val="24"/>
                <w:szCs w:val="24"/>
              </w:rPr>
              <w:t xml:space="preserve">).</w:t>
            </w:r>
          </w:p>
          <w:p>
            <w:pPr>
              <w:jc w:val="left"/>
            </w:pPr>
            <w:r>
              <w:rPr>
                <w:rFonts w:ascii="Arial" w:cs="Arial" w:eastAsia="Arial" w:hAnsi="Arial"/>
                <w:sz w:val="24"/>
                <w:szCs w:val="24"/>
              </w:rPr>
              <w:t xml:space="preserve">Топливо</w:t>
            </w:r>
          </w:p>
        </w:tc>
        <w:tc>
          <w:tcPr>
            <w:tcW w:type="dxa" w:w="33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метод измерения</w:t>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питания (тип).</w:t>
            </w:r>
          </w:p>
          <w:p>
            <w:pPr>
              <w:jc w:val="left"/>
            </w:pPr>
            <w:r>
              <w:rPr>
                <w:rFonts w:ascii="Arial" w:cs="Arial" w:eastAsia="Arial" w:hAnsi="Arial"/>
                <w:sz w:val="24"/>
                <w:szCs w:val="24"/>
              </w:rPr>
              <w:t xml:space="preserve">Карбюратор (тип, маркировка).</w:t>
            </w:r>
          </w:p>
          <w:p>
            <w:pPr>
              <w:jc w:val="left"/>
            </w:pPr>
            <w:r>
              <w:rPr>
                <w:rFonts w:ascii="Arial" w:cs="Arial" w:eastAsia="Arial" w:hAnsi="Arial"/>
                <w:sz w:val="24"/>
                <w:szCs w:val="24"/>
              </w:rPr>
              <w:t xml:space="preserve">Блок управления (маркировка).</w:t>
            </w:r>
          </w:p>
          <w:p>
            <w:pPr>
              <w:jc w:val="left"/>
            </w:pPr>
            <w:r>
              <w:rPr>
                <w:rFonts w:ascii="Arial" w:cs="Arial" w:eastAsia="Arial" w:hAnsi="Arial"/>
                <w:sz w:val="24"/>
                <w:szCs w:val="24"/>
              </w:rPr>
              <w:t xml:space="preserve">Топливный насос высокого давления (тип, маркировка).</w:t>
            </w:r>
          </w:p>
          <w:p>
            <w:pPr>
              <w:jc w:val="left"/>
            </w:pPr>
            <w:r>
              <w:rPr>
                <w:rFonts w:ascii="Arial" w:cs="Arial" w:eastAsia="Arial" w:hAnsi="Arial"/>
                <w:sz w:val="24"/>
                <w:szCs w:val="24"/>
              </w:rPr>
              <w:t xml:space="preserve">Форсунки (тип, маркировка).</w:t>
            </w:r>
          </w:p>
          <w:p>
            <w:pPr>
              <w:jc w:val="left"/>
            </w:pPr>
            <w:r>
              <w:rPr>
                <w:rFonts w:ascii="Arial" w:cs="Arial" w:eastAsia="Arial" w:hAnsi="Arial"/>
                <w:sz w:val="24"/>
                <w:szCs w:val="24"/>
              </w:rPr>
              <w:t xml:space="preserve">Нагнетатель воздуха (тип, маркировка).</w:t>
            </w:r>
          </w:p>
          <w:p>
            <w:pPr>
              <w:jc w:val="left"/>
            </w:pPr>
            <w:r>
              <w:rPr>
                <w:rFonts w:ascii="Arial" w:cs="Arial" w:eastAsia="Arial" w:hAnsi="Arial"/>
                <w:sz w:val="24"/>
                <w:szCs w:val="24"/>
              </w:rPr>
              <w:t xml:space="preserve">Воздушный фильтр (тип, маркировка).</w:t>
            </w:r>
          </w:p>
          <w:p>
            <w:pPr>
              <w:jc w:val="left"/>
            </w:pPr>
            <w:r>
              <w:rPr>
                <w:rFonts w:ascii="Arial" w:cs="Arial" w:eastAsia="Arial" w:hAnsi="Arial"/>
                <w:sz w:val="24"/>
                <w:szCs w:val="24"/>
              </w:rPr>
              <w:t xml:space="preserve">Глушители шума впуска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3-я ступень</w:t>
            </w:r>
          </w:p>
        </w:tc>
        <w:tc>
          <w:tcPr>
            <w:tcW w:type="dxa" w:w="3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зажигания (тип).</w:t>
            </w:r>
          </w:p>
          <w:p>
            <w:pPr>
              <w:jc w:val="left"/>
            </w:pPr>
            <w:r>
              <w:rPr>
                <w:rFonts w:ascii="Arial" w:cs="Arial" w:eastAsia="Arial" w:hAnsi="Arial"/>
                <w:sz w:val="24"/>
                <w:szCs w:val="24"/>
              </w:rPr>
              <w:t xml:space="preserve">Распределитель (маркировка).</w:t>
            </w:r>
          </w:p>
          <w:p>
            <w:pPr>
              <w:jc w:val="left"/>
            </w:pPr>
            <w:r>
              <w:rPr>
                <w:rFonts w:ascii="Arial" w:cs="Arial" w:eastAsia="Arial" w:hAnsi="Arial"/>
                <w:sz w:val="24"/>
                <w:szCs w:val="24"/>
              </w:rPr>
              <w:t xml:space="preserve">Коммутатор (маркировка).</w:t>
            </w:r>
          </w:p>
          <w:p>
            <w:pPr>
              <w:jc w:val="left"/>
            </w:pPr>
            <w:r>
              <w:rPr>
                <w:rFonts w:ascii="Arial" w:cs="Arial" w:eastAsia="Arial" w:hAnsi="Arial"/>
                <w:sz w:val="24"/>
                <w:szCs w:val="24"/>
              </w:rPr>
              <w:t xml:space="preserve">Катушка (модуль) зажигания (маркировка).</w:t>
            </w:r>
          </w:p>
          <w:p>
            <w:pPr>
              <w:jc w:val="left"/>
            </w:pPr>
            <w:r>
              <w:rPr>
                <w:rFonts w:ascii="Arial" w:cs="Arial" w:eastAsia="Arial" w:hAnsi="Arial"/>
                <w:sz w:val="24"/>
                <w:szCs w:val="24"/>
              </w:rPr>
              <w:t xml:space="preserve">Свечи (маркировка)</w:t>
            </w:r>
          </w:p>
        </w:tc>
        <w:tc>
          <w:tcPr>
            <w:tcW w:type="dxa" w:w="3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выпуска и нейтрализации отработавших газов</w:t>
            </w:r>
          </w:p>
          <w:p>
            <w:pPr>
              <w:jc w:val="left"/>
            </w:pPr>
            <w:r>
              <w:rPr>
                <w:rFonts w:ascii="Arial" w:cs="Arial" w:eastAsia="Arial" w:hAnsi="Arial"/>
                <w:sz w:val="24"/>
                <w:szCs w:val="24"/>
              </w:rPr>
              <w:t xml:space="preserve">Нейтрализаторы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Глушители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3-я ступень</w:t>
            </w:r>
          </w:p>
          <w:p>
            <w:pPr>
              <w:jc w:val="left"/>
            </w:pPr>
            <w:r>
              <w:rPr>
                <w:rFonts w:ascii="Arial" w:cs="Arial" w:eastAsia="Arial" w:hAnsi="Arial"/>
                <w:sz w:val="24"/>
                <w:szCs w:val="24"/>
              </w:rPr>
              <w:t xml:space="preserve">Фильтр твердых частиц</w:t>
            </w:r>
          </w:p>
        </w:tc>
        <w:tc>
          <w:tcPr>
            <w:tcW w:type="dxa" w:w="3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Электродвигатель электромобиля (марка, тип)</w:t>
            </w:r>
          </w:p>
        </w:tc>
        <w:tc>
          <w:tcPr>
            <w:tcW w:type="dxa" w:w="33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Постоянного или переменного тока, в случае переменного тока - синхронный или асинхронный, количество фаз</w:t>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Максимальная 30-минутная мощность, кВт</w:t>
            </w:r>
          </w:p>
        </w:tc>
        <w:tc>
          <w:tcPr>
            <w:vMerge w:val="continue"/>
            <w:tcBorders>
              <w:top w:val="none" w:color="auto" w:sz="0"/>
              <w:left w:val="none" w:color="auto" w:sz="0"/>
              <w:bottom w:val="single" w:color="CBBF9E" w:sz="4"/>
              <w:right w:val="single" w:color="CBBF9E" w:sz="4"/>
            </w:tcBorders>
          </w:tcP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накопления энергии</w:t>
            </w:r>
          </w:p>
        </w:tc>
        <w:tc>
          <w:tcPr>
            <w:tcW w:type="dxa" w:w="33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Только для электромобилей и гибридных транспортных средств) (батарея, конденсатор, маховик/генератор</w:t>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Батарея (марка, тип).</w:t>
            </w:r>
          </w:p>
          <w:p>
            <w:pPr>
              <w:jc w:val="left"/>
            </w:pPr>
            <w:r>
              <w:rPr>
                <w:rFonts w:ascii="Arial" w:cs="Arial" w:eastAsia="Arial" w:hAnsi="Arial"/>
                <w:sz w:val="24"/>
                <w:szCs w:val="24"/>
              </w:rPr>
              <w:t xml:space="preserve">Электрохимическая пара.</w:t>
            </w:r>
          </w:p>
          <w:p>
            <w:pPr>
              <w:jc w:val="left"/>
            </w:pPr>
            <w:r>
              <w:rPr>
                <w:rFonts w:ascii="Arial" w:cs="Arial" w:eastAsia="Arial" w:hAnsi="Arial"/>
                <w:sz w:val="24"/>
                <w:szCs w:val="24"/>
              </w:rPr>
              <w:t xml:space="preserve">Количество элементов.</w:t>
            </w:r>
          </w:p>
          <w:p>
            <w:pPr>
              <w:jc w:val="left"/>
            </w:pPr>
            <w:r>
              <w:rPr>
                <w:rFonts w:ascii="Arial" w:cs="Arial" w:eastAsia="Arial" w:hAnsi="Arial"/>
                <w:sz w:val="24"/>
                <w:szCs w:val="24"/>
              </w:rPr>
              <w:t xml:space="preserve">Масса, кг.</w:t>
            </w:r>
          </w:p>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Емкость, А•ч.</w:t>
            </w:r>
          </w:p>
          <w:p>
            <w:pPr>
              <w:jc w:val="left"/>
            </w:pPr>
            <w:r>
              <w:rPr>
                <w:rFonts w:ascii="Arial" w:cs="Arial" w:eastAsia="Arial" w:hAnsi="Arial"/>
                <w:sz w:val="24"/>
                <w:szCs w:val="24"/>
              </w:rPr>
              <w:t xml:space="preserve">Место расположения.</w:t>
            </w:r>
          </w:p>
          <w:p>
            <w:pPr>
              <w:jc w:val="left"/>
            </w:pPr>
            <w:r>
              <w:rPr>
                <w:rFonts w:ascii="Arial" w:cs="Arial" w:eastAsia="Arial" w:hAnsi="Arial"/>
                <w:sz w:val="24"/>
                <w:szCs w:val="24"/>
              </w:rPr>
              <w:t xml:space="preserve">Конденсатор (марка, тип).</w:t>
            </w:r>
          </w:p>
          <w:p>
            <w:pPr>
              <w:jc w:val="left"/>
            </w:pPr>
            <w:r>
              <w:rPr>
                <w:rFonts w:ascii="Arial" w:cs="Arial" w:eastAsia="Arial" w:hAnsi="Arial"/>
                <w:sz w:val="24"/>
                <w:szCs w:val="24"/>
              </w:rPr>
              <w:t xml:space="preserve">Энергоемкость, Дж.</w:t>
            </w:r>
          </w:p>
          <w:p>
            <w:pPr>
              <w:jc w:val="left"/>
            </w:pPr>
            <w:r>
              <w:rPr>
                <w:rFonts w:ascii="Arial" w:cs="Arial" w:eastAsia="Arial" w:hAnsi="Arial"/>
                <w:sz w:val="24"/>
                <w:szCs w:val="24"/>
              </w:rPr>
              <w:t xml:space="preserve">Маховик/генератор (марка, тип)</w:t>
            </w:r>
          </w:p>
        </w:tc>
        <w:tc>
          <w:tcPr>
            <w:vMerge w:val="continue"/>
            <w:tcBorders>
              <w:top w:val="none" w:color="auto" w:sz="0"/>
              <w:left w:val="none" w:color="auto" w:sz="0"/>
              <w:bottom w:val="single" w:color="CBBF9E" w:sz="4"/>
              <w:right w:val="single" w:color="CBBF9E" w:sz="4"/>
            </w:tcBorders>
          </w:tcP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Трансмиссия</w:t>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и описание схемы трансмиссии</w:t>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Электромашина (марка, тип)</w:t>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каждой электромашины: основная функция (двигатель или генератор), постоянного или переменного тока, в случае переменного тока - синхронный или асинхронный, количество фаз</w:t>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Максимальная 30-минутная мощность, кВт.</w:t>
            </w:r>
          </w:p>
          <w:p>
            <w:pPr>
              <w:jc w:val="left"/>
            </w:pPr>
            <w:r>
              <w:rPr>
                <w:rFonts w:ascii="Arial" w:cs="Arial" w:eastAsia="Arial" w:hAnsi="Arial"/>
                <w:sz w:val="24"/>
                <w:szCs w:val="24"/>
              </w:rPr>
              <w:t xml:space="preserve">Сцепление (марка, тип).</w:t>
            </w:r>
          </w:p>
          <w:p>
            <w:pPr>
              <w:jc w:val="left"/>
            </w:pPr>
            <w:r>
              <w:rPr>
                <w:rFonts w:ascii="Arial" w:cs="Arial" w:eastAsia="Arial" w:hAnsi="Arial"/>
                <w:sz w:val="24"/>
                <w:szCs w:val="24"/>
              </w:rPr>
              <w:t xml:space="preserve">Коробка передач (марка, тип), число передач и передаточные числа.</w:t>
            </w:r>
          </w:p>
          <w:p>
            <w:pPr>
              <w:jc w:val="left"/>
            </w:pPr>
            <w:r>
              <w:rPr>
                <w:rFonts w:ascii="Arial" w:cs="Arial" w:eastAsia="Arial" w:hAnsi="Arial"/>
                <w:sz w:val="24"/>
                <w:szCs w:val="24"/>
              </w:rPr>
              <w:t xml:space="preserve">Раздаточная коробка (тип), число передач и передаточные числа.</w:t>
            </w:r>
          </w:p>
          <w:p>
            <w:pPr>
              <w:jc w:val="left"/>
            </w:pPr>
            <w:r>
              <w:rPr>
                <w:rFonts w:ascii="Arial" w:cs="Arial" w:eastAsia="Arial" w:hAnsi="Arial"/>
                <w:sz w:val="24"/>
                <w:szCs w:val="24"/>
              </w:rPr>
              <w:t xml:space="preserve">Главная передача (тип), передаточное число</w:t>
            </w:r>
          </w:p>
        </w:tc>
        <w:tc>
          <w:tcPr>
            <w:tcW w:type="dxa" w:w="3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Подвески:</w:t>
            </w:r>
          </w:p>
          <w:p>
            <w:pPr>
              <w:jc w:val="left"/>
            </w:pPr>
            <w:r>
              <w:rPr>
                <w:rFonts w:ascii="Arial" w:cs="Arial" w:eastAsia="Arial" w:hAnsi="Arial"/>
                <w:sz w:val="24"/>
                <w:szCs w:val="24"/>
              </w:rPr>
              <w:t xml:space="preserve">- передняя (описание);</w:t>
            </w:r>
          </w:p>
          <w:p>
            <w:pPr>
              <w:jc w:val="left"/>
            </w:pPr>
            <w:r>
              <w:rPr>
                <w:rFonts w:ascii="Arial" w:cs="Arial" w:eastAsia="Arial" w:hAnsi="Arial"/>
                <w:sz w:val="24"/>
                <w:szCs w:val="24"/>
              </w:rPr>
              <w:t xml:space="preserve">- задняя (описание)</w:t>
            </w:r>
          </w:p>
        </w:tc>
        <w:tc>
          <w:tcPr>
            <w:tcW w:type="dxa" w:w="3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Рулевое управление (описание) -</w:t>
            </w:r>
          </w:p>
          <w:p>
            <w:pPr>
              <w:jc w:val="both"/>
            </w:pPr>
            <w:r>
              <w:rPr>
                <w:rFonts w:ascii="Arial" w:cs="Arial" w:eastAsia="Arial" w:hAnsi="Arial"/>
                <w:sz w:val="24"/>
                <w:szCs w:val="24"/>
              </w:rPr>
              <w:t xml:space="preserve">рулевой механизм (тип)</w:t>
            </w:r>
          </w:p>
        </w:tc>
        <w:tc>
          <w:tcPr>
            <w:tcW w:type="dxa" w:w="3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Тормозные системы:</w:t>
            </w:r>
          </w:p>
          <w:p>
            <w:pPr>
              <w:jc w:val="left"/>
            </w:pPr>
            <w:r>
              <w:rPr>
                <w:rFonts w:ascii="Arial" w:cs="Arial" w:eastAsia="Arial" w:hAnsi="Arial"/>
                <w:sz w:val="24"/>
                <w:szCs w:val="24"/>
              </w:rPr>
              <w:t xml:space="preserve">- рабочая (описание);</w:t>
            </w:r>
          </w:p>
          <w:p>
            <w:pPr>
              <w:jc w:val="left"/>
            </w:pPr>
            <w:r>
              <w:rPr>
                <w:rFonts w:ascii="Arial" w:cs="Arial" w:eastAsia="Arial" w:hAnsi="Arial"/>
                <w:sz w:val="24"/>
                <w:szCs w:val="24"/>
              </w:rPr>
              <w:t xml:space="preserve">- запасная (описание);</w:t>
            </w:r>
          </w:p>
          <w:p>
            <w:pPr>
              <w:jc w:val="left"/>
            </w:pPr>
            <w:r>
              <w:rPr>
                <w:rFonts w:ascii="Arial" w:cs="Arial" w:eastAsia="Arial" w:hAnsi="Arial"/>
                <w:sz w:val="24"/>
                <w:szCs w:val="24"/>
              </w:rPr>
              <w:t xml:space="preserve">- стояночная (описание);</w:t>
            </w:r>
          </w:p>
          <w:p>
            <w:pPr>
              <w:jc w:val="left"/>
            </w:pPr>
            <w:r>
              <w:rPr>
                <w:rFonts w:ascii="Arial" w:cs="Arial" w:eastAsia="Arial" w:hAnsi="Arial"/>
                <w:sz w:val="24"/>
                <w:szCs w:val="24"/>
              </w:rPr>
              <w:t xml:space="preserve">- вспомогательная (износостойкая) (описание)</w:t>
            </w:r>
          </w:p>
        </w:tc>
        <w:tc>
          <w:tcPr>
            <w:tcW w:type="dxa" w:w="3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Шины:</w:t>
            </w:r>
          </w:p>
          <w:p>
            <w:pPr>
              <w:jc w:val="both"/>
            </w:pPr>
            <w:r>
              <w:rPr>
                <w:rFonts w:ascii="Arial" w:cs="Arial" w:eastAsia="Arial" w:hAnsi="Arial"/>
                <w:sz w:val="24"/>
                <w:szCs w:val="24"/>
              </w:rPr>
              <w:t xml:space="preserve">- обозначение размера;</w:t>
            </w:r>
          </w:p>
          <w:p>
            <w:pPr>
              <w:jc w:val="left"/>
            </w:pPr>
            <w:r>
              <w:rPr>
                <w:rFonts w:ascii="Arial" w:cs="Arial" w:eastAsia="Arial" w:hAnsi="Arial"/>
                <w:sz w:val="24"/>
                <w:szCs w:val="24"/>
              </w:rPr>
              <w:t xml:space="preserve">- индекс несущей способности для максимально допустимой нагрузки;</w:t>
            </w:r>
          </w:p>
          <w:p>
            <w:pPr>
              <w:jc w:val="left"/>
            </w:pPr>
            <w:r>
              <w:rPr>
                <w:rFonts w:ascii="Arial" w:cs="Arial" w:eastAsia="Arial" w:hAnsi="Arial"/>
                <w:sz w:val="24"/>
                <w:szCs w:val="24"/>
              </w:rPr>
              <w:t xml:space="preserve">- обозначение категории скорости</w:t>
            </w:r>
          </w:p>
        </w:tc>
        <w:tc>
          <w:tcPr>
            <w:tcW w:type="dxa" w:w="3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Оборудование транспортного средства</w:t>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Кондиционер, электроблокировка замков дверей, радиооборудование, антенна, устройство (система) вызова экстренных оперативных служб</w:t>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Директор Центра по стандартизации и метрологии при Министерстве экономики и коммерции Кыргызской Республики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Сведения о маркировке компонентов могут не указываться в настоящем приложении, если они не содержатся в доказательственных материалах по отдельным требованиям.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Заключению об оценке типа транспортного средства</w:t>
      </w:r>
    </w:p>
    <w:p>
      <w:pPr>
        <w:spacing w:after="400" w:before="400"/>
        <w:jc w:val="center"/>
      </w:pPr>
      <w:r>
        <w:rPr>
          <w:rFonts w:ascii="Arial" w:cs="Arial" w:eastAsia="Arial" w:hAnsi="Arial"/>
          <w:b/>
          <w:bCs/>
          <w:sz w:val="32"/>
          <w:szCs w:val="32"/>
        </w:rPr>
        <w:t xml:space="preserve">Перечень документов, явившихся основанием для оформления заключения об оценке типа транспортного средства (одобрение типа транспортного средства)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8"/>
        <w:gridCol w:w="3746"/>
        <w:gridCol w:w="1604"/>
      </w:tblGrid>
      <w:tr>
        <w:tc>
          <w:tcPr>
            <w:tcW w:type="dxa" w:w="48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Элементы объектов технического регулирования, в отношении которых установлены требования безопасности</w:t>
            </w:r>
          </w:p>
        </w:tc>
        <w:tc>
          <w:tcPr>
            <w:tcW w:type="dxa" w:w="37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и происхождение документа, подтверждающего соответствие</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номер документа(*)</w:t>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органа по сертификации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Для Правил ООН № 30 и 54 в настоящем перечне приводится следующее примечание: "Допускается установка шин, соответствующих критериям размерности, минимально допустимого индекса нагрузки и минимальной скоростной категории и имеющих иные подтверждающие соответствие документы (при наличии на шинах маркировки по правилу ООН № 30 или 54 и при условии представления в уполномоченную организацию информации об указанной маркировке)". Указанная запись может корректироваться в зависимости от типов устанавливаемых шин.</w:t>
      </w:r>
    </w:p>
    <w:p>
      <w:pPr>
        <w:spacing w:after="60"/>
        <w:ind w:firstLine="567"/>
        <w:jc w:val="both"/>
      </w:pPr>
      <w:r>
        <w:rPr>
          <w:rFonts w:ascii="Arial" w:cs="Arial" w:eastAsia="Arial" w:hAnsi="Arial"/>
          <w:sz w:val="24"/>
          <w:szCs w:val="24"/>
        </w:rPr>
        <w:t xml:space="preserve">Допускается не указывать номера сообщений об официальном утверждении типа по отдельным ремням безопасности, звуковым сигнальным приборам, стеклам, зеркалам и сцепным устройствам в случае, если имеется перечень названных компонентов с указанием номеров этих сообщений и их маркировки в сообщениях по Правилам ООН № 16, 28, 43, 46, 48 и 55 на установку соответственно ремней безопасности, звуковых сигнальных приборов, стекол, зеркал заднего вида, устройств освещения и световой сигнализации, а также сцепных устройств.</w:t>
      </w:r>
    </w:p>
    <w:p>
      <w:pPr>
        <w:spacing w:after="60"/>
        <w:ind w:firstLine="567"/>
        <w:jc w:val="both"/>
      </w:pPr>
      <w:r>
        <w:rPr>
          <w:rFonts w:ascii="Arial" w:cs="Arial" w:eastAsia="Arial" w:hAnsi="Arial"/>
          <w:sz w:val="24"/>
          <w:szCs w:val="24"/>
        </w:rPr>
        <w:t xml:space="preserve">____________________</w:t>
      </w:r>
    </w:p>
    <w:p>
      <w:pPr>
        <w:spacing w:after="60"/>
        <w:ind w:firstLine="567"/>
        <w:jc w:val="both"/>
      </w:pPr>
      <w:r>
        <w:rPr>
          <w:rFonts w:ascii="Arial" w:cs="Arial" w:eastAsia="Arial" w:hAnsi="Arial"/>
          <w:sz w:val="24"/>
          <w:szCs w:val="24"/>
        </w:rPr>
        <w:t xml:space="preserve">(*) Для документов, оформленных на ограниченный срок действия, указываются даты начала и окончания действия.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Заключению об оценке типа транспортного средства</w:t>
      </w:r>
    </w:p>
    <w:p>
      <w:pPr>
        <w:spacing w:after="400" w:before="400"/>
        <w:jc w:val="center"/>
      </w:pPr>
      <w:r>
        <w:rPr>
          <w:rFonts w:ascii="Arial" w:cs="Arial" w:eastAsia="Arial" w:hAnsi="Arial"/>
          <w:b/>
          <w:bCs/>
          <w:sz w:val="32"/>
          <w:szCs w:val="32"/>
        </w:rPr>
        <w:t xml:space="preserve">Описание маркировки транспортного средства</w:t>
      </w:r>
    </w:p>
    <w:p>
      <w:pPr>
        <w:spacing w:after="60"/>
        <w:ind w:firstLine="567"/>
        <w:jc w:val="both"/>
      </w:pPr>
      <w:r>
        <w:rPr>
          <w:rFonts w:ascii="Arial" w:cs="Arial" w:eastAsia="Arial" w:hAnsi="Arial"/>
          <w:sz w:val="24"/>
          <w:szCs w:val="24"/>
        </w:rPr>
        <w:t xml:space="preserve">Место расположения таблички изготовителя ______________________________________________</w:t>
      </w:r>
    </w:p>
    <w:p>
      <w:pPr>
        <w:spacing w:after="60"/>
        <w:ind w:firstLine="567"/>
        <w:jc w:val="both"/>
      </w:pPr>
      <w:r>
        <w:rPr>
          <w:rFonts w:ascii="Arial" w:cs="Arial" w:eastAsia="Arial" w:hAnsi="Arial"/>
          <w:sz w:val="24"/>
          <w:szCs w:val="24"/>
        </w:rPr>
        <w:t xml:space="preserve">Место расположения идентификационного номера ________________________________________</w:t>
      </w:r>
    </w:p>
    <w:p>
      <w:pPr>
        <w:spacing w:after="120"/>
        <w:ind w:firstLine="567"/>
        <w:jc w:val="both"/>
      </w:pPr>
      <w:r>
        <w:rPr>
          <w:rFonts w:ascii="Arial" w:cs="Arial" w:eastAsia="Arial" w:hAnsi="Arial"/>
          <w:sz w:val="24"/>
          <w:szCs w:val="24"/>
        </w:rPr>
        <w:t xml:space="preserve">Структура и содержание идентификационного номера (номеров) транспортных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
        <w:gridCol w:w="599"/>
        <w:gridCol w:w="599"/>
        <w:gridCol w:w="599"/>
        <w:gridCol w:w="599"/>
        <w:gridCol w:w="599"/>
        <w:gridCol w:w="599"/>
        <w:gridCol w:w="599"/>
        <w:gridCol w:w="599"/>
        <w:gridCol w:w="599"/>
        <w:gridCol w:w="599"/>
        <w:gridCol w:w="599"/>
        <w:gridCol w:w="599"/>
        <w:gridCol w:w="599"/>
        <w:gridCol w:w="599"/>
        <w:gridCol w:w="599"/>
        <w:gridCol w:w="599"/>
      </w:tblGrid>
      <w:tr>
        <w:tc>
          <w:tcPr>
            <w:tcW w:type="dxa" w:w="59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органа по сертификации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временных требованиях и порядке проведения оценки соответствия отдельных колесных транспортных средств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ЗАКЛЮЧЕНИЕ
 об оценке типа шасси
 № __________________</w:t>
      </w:r>
    </w:p>
    <w:p>
      <w:pPr>
        <w:spacing w:after="60"/>
        <w:jc w:val="center"/>
      </w:pPr>
      <w:r>
        <w:rPr>
          <w:rFonts w:ascii="Arial" w:cs="Arial" w:eastAsia="Arial" w:hAnsi="Arial"/>
          <w:sz w:val="24"/>
          <w:szCs w:val="24"/>
        </w:rPr>
        <w:t xml:space="preserve">Срок действия с ________________________ по _________________________</w:t>
      </w:r>
    </w:p>
    <w:p>
      <w:pPr>
        <w:spacing w:after="60"/>
        <w:jc w:val="center"/>
      </w:pPr>
      <w:r>
        <w:rPr>
          <w:rFonts w:ascii="Arial" w:cs="Arial" w:eastAsia="Arial" w:hAnsi="Arial"/>
          <w:sz w:val="24"/>
          <w:szCs w:val="24"/>
        </w:rPr>
        <w:t xml:space="preserve">Орган по сертификации _____________________________________________</w:t>
      </w:r>
    </w:p>
    <w:p>
      <w:pPr>
        <w:spacing w:after="60"/>
        <w:jc w:val="center"/>
      </w:pPr>
      <w:r>
        <w:rPr>
          <w:rFonts w:ascii="Arial" w:cs="Arial" w:eastAsia="Arial" w:hAnsi="Arial"/>
          <w:sz w:val="24"/>
          <w:szCs w:val="24"/>
        </w:rPr>
        <w:t xml:space="preserve">(полное и сокращенное наименование, адрес, номер,
 ___________________________________________________________________</w:t>
      </w:r>
    </w:p>
    <w:p>
      <w:pPr>
        <w:spacing w:after="60"/>
        <w:jc w:val="center"/>
      </w:pPr>
      <w:r>
        <w:rPr>
          <w:rFonts w:ascii="Arial" w:cs="Arial" w:eastAsia="Arial" w:hAnsi="Arial"/>
          <w:sz w:val="24"/>
          <w:szCs w:val="24"/>
        </w:rPr>
        <w:t xml:space="preserve">окончание срока действия аттестата аккредитации)</w:t>
      </w:r>
    </w:p>
    <w:p>
      <w:pPr>
        <w:spacing w:after="200" w:before="200"/>
        <w:jc w:val="center"/>
      </w:pPr>
      <w:r>
        <w:rPr>
          <w:rFonts w:ascii="Arial" w:cs="Arial" w:eastAsia="Arial" w:hAnsi="Arial"/>
          <w:b/>
          <w:bCs/>
          <w:sz w:val="32"/>
          <w:szCs w:val="32"/>
        </w:rPr>
        <w:t xml:space="preserve">Шасси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79"/>
        <w:gridCol w:w="1899"/>
      </w:tblGrid>
      <w:tr>
        <w:tc>
          <w:tcPr>
            <w:tcW w:type="dxa" w:w="82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МАРКА</w:t>
            </w:r>
          </w:p>
        </w:tc>
        <w:tc>
          <w:tcPr>
            <w:tcW w:type="dxa" w:w="18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КОММЕРЧЕСКОЕ НАИМЕНОВАНИЕ</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МОДИФИКАЦИИ</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ЭКОЛОГИЧЕСКИЙ КЛАСС</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ВАРИАНТ ИЗГОТОВЛЕНИЯ (указать из перечисленных: шасси с кабиной и двигателем, автобусное шасси без кузова для автобусов рамной конструкции, автобусное шасси без кузова для автобусов каркасной конструкции, грузовое шасси без кабины для изготовления транспортных средств со специальной кабиной, грузовое шасси с частично собранной кабиной (без задней стенки), шасси с передней частью кабины для изготовления автомобилей-домов, передняя часть шасси без кабины для изготовления автомобилей-домов, шасси прицепа или другое)</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ЗАЯВИТЕЛЬ И ЕГО АДРЕС</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ИЗГОТОВИТЕЛЬ И ЕГО АДРЕС</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СБОРОЧНЫЙ ЗАВОД И ЕГО АДРЕС</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Шасси соответствуют техническим требованиям, установленным в приложении 1 к Положению о временных требованиях и порядке проведения оценки соответствия отдельных колесных транспортных средств, по перечню требований в соответствии с приложением 2 к настоящему заключению.</w:t>
      </w:r>
    </w:p>
    <w:p>
      <w:pPr>
        <w:spacing w:after="60"/>
        <w:ind w:firstLine="567"/>
        <w:jc w:val="both"/>
      </w:pPr>
      <w:r>
        <w:rPr>
          <w:rFonts w:ascii="Arial" w:cs="Arial" w:eastAsia="Arial" w:hAnsi="Arial"/>
          <w:sz w:val="24"/>
          <w:szCs w:val="24"/>
        </w:rPr>
        <w:t xml:space="preserve">Действие заключения об оценке типа шасси распространяется на серийно выпускаемую продукцию (партию незавершенных транспортных средств (шасси) в количестве _________ штук с идентификационными номерами (VIN) с ________________ по ________________.</w:t>
      </w:r>
    </w:p>
    <w:p>
      <w:pPr>
        <w:spacing w:after="60"/>
        <w:ind w:firstLine="567"/>
        <w:jc w:val="both"/>
      </w:pPr>
      <w:r>
        <w:rPr>
          <w:rFonts w:ascii="Arial" w:cs="Arial" w:eastAsia="Arial" w:hAnsi="Arial"/>
          <w:sz w:val="24"/>
          <w:szCs w:val="24"/>
        </w:rPr>
        <w:t xml:space="preserve">Заключение об оценке типа шасси не действительно без:</w:t>
      </w:r>
    </w:p>
    <w:p>
      <w:pPr>
        <w:spacing w:after="60"/>
        <w:ind w:firstLine="567"/>
        <w:jc w:val="both"/>
      </w:pPr>
      <w:r>
        <w:rPr>
          <w:rFonts w:ascii="Arial" w:cs="Arial" w:eastAsia="Arial" w:hAnsi="Arial"/>
          <w:sz w:val="24"/>
          <w:szCs w:val="24"/>
        </w:rPr>
        <w:t xml:space="preserve">приложения 1 "Общие характеристики шасси";</w:t>
      </w:r>
    </w:p>
    <w:p>
      <w:pPr>
        <w:spacing w:after="60"/>
        <w:ind w:firstLine="567"/>
        <w:jc w:val="both"/>
      </w:pPr>
      <w:r>
        <w:rPr>
          <w:rFonts w:ascii="Arial" w:cs="Arial" w:eastAsia="Arial" w:hAnsi="Arial"/>
          <w:sz w:val="24"/>
          <w:szCs w:val="24"/>
        </w:rPr>
        <w:t xml:space="preserve">приложения 2 "Перечень документов, явившихся основанием для оформления заключения об оценке типа шасси";</w:t>
      </w:r>
    </w:p>
    <w:p>
      <w:pPr>
        <w:spacing w:after="60"/>
        <w:ind w:firstLine="567"/>
        <w:jc w:val="both"/>
      </w:pPr>
      <w:r>
        <w:rPr>
          <w:rFonts w:ascii="Arial" w:cs="Arial" w:eastAsia="Arial" w:hAnsi="Arial"/>
          <w:sz w:val="24"/>
          <w:szCs w:val="24"/>
        </w:rPr>
        <w:t xml:space="preserve">приложения 3 "Описание маркировки шасси";</w:t>
      </w:r>
    </w:p>
    <w:p>
      <w:pPr>
        <w:spacing w:after="60"/>
        <w:ind w:firstLine="567"/>
        <w:jc w:val="both"/>
      </w:pPr>
      <w:r>
        <w:rPr>
          <w:rFonts w:ascii="Arial" w:cs="Arial" w:eastAsia="Arial" w:hAnsi="Arial"/>
          <w:sz w:val="24"/>
          <w:szCs w:val="24"/>
        </w:rPr>
        <w:t xml:space="preserve">приложения 4 "Общий вид шасси" (на _____ страницах).</w:t>
      </w:r>
    </w:p>
    <w:p>
      <w:pPr>
        <w:spacing w:after="60"/>
        <w:ind w:firstLine="567"/>
        <w:jc w:val="both"/>
      </w:pPr>
      <w:r>
        <w:rPr>
          <w:rFonts w:ascii="Arial" w:cs="Arial" w:eastAsia="Arial" w:hAnsi="Arial"/>
          <w:sz w:val="24"/>
          <w:szCs w:val="24"/>
        </w:rPr>
        <w:t xml:space="preserve">Дополнительная информация _______________________________________________________________</w:t>
      </w:r>
    </w:p>
    <w:p>
      <w:pPr>
        <w:spacing w:after="60"/>
        <w:ind w:firstLine="567"/>
        <w:jc w:val="both"/>
      </w:pPr>
      <w:r>
        <w:rPr>
          <w:rFonts w:ascii="Arial" w:cs="Arial" w:eastAsia="Arial" w:hAnsi="Arial"/>
          <w:sz w:val="24"/>
          <w:szCs w:val="24"/>
        </w:rPr>
        <w:t xml:space="preserve">                                                            (при необходимости указываются ограничения</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both"/>
      </w:pPr>
      <w:r>
        <w:rPr>
          <w:rFonts w:ascii="Arial" w:cs="Arial" w:eastAsia="Arial" w:hAnsi="Arial"/>
          <w:sz w:val="24"/>
          <w:szCs w:val="24"/>
        </w:rPr>
        <w:t xml:space="preserve">                          на запрет перемещения своим ходом, возможность использования</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both"/>
      </w:pPr>
      <w:r>
        <w:rPr>
          <w:rFonts w:ascii="Arial" w:cs="Arial" w:eastAsia="Arial" w:hAnsi="Arial"/>
          <w:sz w:val="24"/>
          <w:szCs w:val="24"/>
        </w:rPr>
        <w:t xml:space="preserve">                                              на дорогах общего пользования и другое)</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органа по сертификации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Заключение об оценке типа шасси утверждено.</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Директор Центра по стандартизации и метрологии при Министерстве экономики и коммерции Кыргызской Республики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Заключению об оценке типа шасси</w:t>
      </w:r>
    </w:p>
    <w:p>
      <w:pPr>
        <w:spacing w:after="400" w:before="400"/>
        <w:jc w:val="center"/>
      </w:pPr>
      <w:r>
        <w:rPr>
          <w:rFonts w:ascii="Arial" w:cs="Arial" w:eastAsia="Arial" w:hAnsi="Arial"/>
          <w:b/>
          <w:bCs/>
          <w:sz w:val="32"/>
          <w:szCs w:val="32"/>
        </w:rPr>
        <w:t xml:space="preserve">Общие характеристики шасси</w:t>
      </w:r>
    </w:p>
    <w:p>
      <w:pPr>
        <w:spacing w:after="120"/>
        <w:jc w:val="left"/>
      </w:pPr>
      <w:r>
        <w:rPr>
          <w:rFonts w:ascii="Arial" w:cs="Arial" w:eastAsia="Arial" w:hAnsi="Arial"/>
          <w:sz w:val="24"/>
          <w:szCs w:val="24"/>
        </w:rPr>
        <w:t xml:space="preserve">Количество осей/колес (только для транспортных средств категории О) 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28"/>
        <w:gridCol w:w="2950"/>
      </w:tblGrid>
      <w:tr>
        <w:tc>
          <w:tcPr>
            <w:tcW w:type="dxa" w:w="72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Двигатель внутреннего сгорания (марка, тип):</w:t>
            </w:r>
          </w:p>
          <w:p>
            <w:pPr>
              <w:jc w:val="left"/>
            </w:pPr>
            <w:r>
              <w:rPr>
                <w:rFonts w:ascii="Arial" w:cs="Arial" w:eastAsia="Arial" w:hAnsi="Arial"/>
                <w:sz w:val="24"/>
                <w:szCs w:val="24"/>
              </w:rPr>
              <w:t xml:space="preserve">- количество и расположение цилиндров;</w:t>
            </w:r>
          </w:p>
          <w:p>
            <w:pPr>
              <w:jc w:val="left"/>
            </w:pPr>
            <w:r>
              <w:rPr>
                <w:rFonts w:ascii="Arial" w:cs="Arial" w:eastAsia="Arial" w:hAnsi="Arial"/>
                <w:sz w:val="24"/>
                <w:szCs w:val="24"/>
              </w:rPr>
              <w:t xml:space="preserve">- рабочий объем цилиндров, см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 степень сжатия;</w:t>
            </w:r>
          </w:p>
          <w:p>
            <w:pPr>
              <w:jc w:val="left"/>
            </w:pPr>
            <w:r>
              <w:rPr>
                <w:rFonts w:ascii="Arial" w:cs="Arial" w:eastAsia="Arial" w:hAnsi="Arial"/>
                <w:sz w:val="24"/>
                <w:szCs w:val="24"/>
              </w:rPr>
              <w:t xml:space="preserve">- максимальная мощность, кВт (мин</w:t>
            </w:r>
            <w:r>
              <w:rPr>
                <w:rFonts w:ascii="Arial" w:cs="Arial" w:eastAsia="Arial" w:hAnsi="Arial"/>
                <w:sz w:val="24"/>
                <w:szCs w:val="24"/>
              </w:rPr>
              <w:t xml:space="preserve">-1</w:t>
            </w:r>
            <w:r>
              <w:rPr>
                <w:rFonts w:ascii="Arial" w:cs="Arial" w:eastAsia="Arial" w:hAnsi="Arial"/>
                <w:sz w:val="24"/>
                <w:szCs w:val="24"/>
              </w:rPr>
              <w:t xml:space="preserve">);</w:t>
            </w:r>
          </w:p>
          <w:p>
            <w:pPr>
              <w:jc w:val="left"/>
            </w:pPr>
            <w:r>
              <w:rPr>
                <w:rFonts w:ascii="Arial" w:cs="Arial" w:eastAsia="Arial" w:hAnsi="Arial"/>
                <w:sz w:val="24"/>
                <w:szCs w:val="24"/>
              </w:rPr>
              <w:t xml:space="preserve">- максимальный крутящий момент, Н•м (мин</w:t>
            </w:r>
            <w:r>
              <w:rPr>
                <w:rFonts w:ascii="Arial" w:cs="Arial" w:eastAsia="Arial" w:hAnsi="Arial"/>
                <w:sz w:val="24"/>
                <w:szCs w:val="24"/>
              </w:rPr>
              <w:t xml:space="preserve">-1</w:t>
            </w:r>
            <w:r>
              <w:rPr>
                <w:rFonts w:ascii="Arial" w:cs="Arial" w:eastAsia="Arial" w:hAnsi="Arial"/>
                <w:sz w:val="24"/>
                <w:szCs w:val="24"/>
              </w:rPr>
              <w:t xml:space="preserve">);</w:t>
            </w:r>
          </w:p>
          <w:p>
            <w:pPr>
              <w:jc w:val="left"/>
            </w:pPr>
            <w:r>
              <w:rPr>
                <w:rFonts w:ascii="Arial" w:cs="Arial" w:eastAsia="Arial" w:hAnsi="Arial"/>
                <w:sz w:val="24"/>
                <w:szCs w:val="24"/>
              </w:rPr>
              <w:t xml:space="preserve">Топливо</w:t>
            </w:r>
          </w:p>
        </w:tc>
        <w:tc>
          <w:tcPr>
            <w:tcW w:type="dxa" w:w="29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Указать метод измерения</w:t>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питания (тип).</w:t>
            </w:r>
          </w:p>
          <w:p>
            <w:pPr>
              <w:jc w:val="left"/>
            </w:pPr>
            <w:r>
              <w:rPr>
                <w:rFonts w:ascii="Arial" w:cs="Arial" w:eastAsia="Arial" w:hAnsi="Arial"/>
                <w:sz w:val="24"/>
                <w:szCs w:val="24"/>
              </w:rPr>
              <w:t xml:space="preserve">Карбюратор (тип, маркировка).</w:t>
            </w:r>
          </w:p>
          <w:p>
            <w:pPr>
              <w:jc w:val="left"/>
            </w:pPr>
            <w:r>
              <w:rPr>
                <w:rFonts w:ascii="Arial" w:cs="Arial" w:eastAsia="Arial" w:hAnsi="Arial"/>
                <w:sz w:val="24"/>
                <w:szCs w:val="24"/>
              </w:rPr>
              <w:t xml:space="preserve">Блок управления (маркировка).</w:t>
            </w:r>
          </w:p>
          <w:p>
            <w:pPr>
              <w:jc w:val="left"/>
            </w:pPr>
            <w:r>
              <w:rPr>
                <w:rFonts w:ascii="Arial" w:cs="Arial" w:eastAsia="Arial" w:hAnsi="Arial"/>
                <w:sz w:val="24"/>
                <w:szCs w:val="24"/>
              </w:rPr>
              <w:t xml:space="preserve">Топливный насос высокого давления (тип, маркировка).</w:t>
            </w:r>
          </w:p>
          <w:p>
            <w:pPr>
              <w:jc w:val="left"/>
            </w:pPr>
            <w:r>
              <w:rPr>
                <w:rFonts w:ascii="Arial" w:cs="Arial" w:eastAsia="Arial" w:hAnsi="Arial"/>
                <w:sz w:val="24"/>
                <w:szCs w:val="24"/>
              </w:rPr>
              <w:t xml:space="preserve">Форсунки (тип, маркировка).</w:t>
            </w:r>
          </w:p>
          <w:p>
            <w:pPr>
              <w:jc w:val="left"/>
            </w:pPr>
            <w:r>
              <w:rPr>
                <w:rFonts w:ascii="Arial" w:cs="Arial" w:eastAsia="Arial" w:hAnsi="Arial"/>
                <w:sz w:val="24"/>
                <w:szCs w:val="24"/>
              </w:rPr>
              <w:t xml:space="preserve">Нагнетатель воздуха (тип, маркировка)</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Воздушный фильтр (тип, маркировка).</w:t>
            </w:r>
          </w:p>
          <w:p>
            <w:pPr>
              <w:jc w:val="left"/>
            </w:pPr>
            <w:r>
              <w:rPr>
                <w:rFonts w:ascii="Arial" w:cs="Arial" w:eastAsia="Arial" w:hAnsi="Arial"/>
                <w:sz w:val="24"/>
                <w:szCs w:val="24"/>
              </w:rPr>
              <w:t xml:space="preserve">Глушители шума впуска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3-я ступень</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зажигания (тип).</w:t>
            </w:r>
          </w:p>
          <w:p>
            <w:pPr>
              <w:jc w:val="left"/>
            </w:pPr>
            <w:r>
              <w:rPr>
                <w:rFonts w:ascii="Arial" w:cs="Arial" w:eastAsia="Arial" w:hAnsi="Arial"/>
                <w:sz w:val="24"/>
                <w:szCs w:val="24"/>
              </w:rPr>
              <w:t xml:space="preserve">Распределитель (маркировка).</w:t>
            </w:r>
          </w:p>
          <w:p>
            <w:pPr>
              <w:jc w:val="left"/>
            </w:pPr>
            <w:r>
              <w:rPr>
                <w:rFonts w:ascii="Arial" w:cs="Arial" w:eastAsia="Arial" w:hAnsi="Arial"/>
                <w:sz w:val="24"/>
                <w:szCs w:val="24"/>
              </w:rPr>
              <w:t xml:space="preserve">Коммутатор (маркировка).</w:t>
            </w:r>
          </w:p>
          <w:p>
            <w:pPr>
              <w:jc w:val="left"/>
            </w:pPr>
            <w:r>
              <w:rPr>
                <w:rFonts w:ascii="Arial" w:cs="Arial" w:eastAsia="Arial" w:hAnsi="Arial"/>
                <w:sz w:val="24"/>
                <w:szCs w:val="24"/>
              </w:rPr>
              <w:t xml:space="preserve">Катушка (модуль) зажигания (маркировка).</w:t>
            </w:r>
          </w:p>
          <w:p>
            <w:pPr>
              <w:jc w:val="left"/>
            </w:pPr>
            <w:r>
              <w:rPr>
                <w:rFonts w:ascii="Arial" w:cs="Arial" w:eastAsia="Arial" w:hAnsi="Arial"/>
                <w:sz w:val="24"/>
                <w:szCs w:val="24"/>
              </w:rPr>
              <w:t xml:space="preserve">Свечи (маркировка)</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выпуска и нейтрализации отработавших газов</w:t>
            </w:r>
          </w:p>
          <w:p>
            <w:pPr>
              <w:jc w:val="left"/>
            </w:pPr>
            <w:r>
              <w:rPr>
                <w:rFonts w:ascii="Arial" w:cs="Arial" w:eastAsia="Arial" w:hAnsi="Arial"/>
                <w:sz w:val="24"/>
                <w:szCs w:val="24"/>
              </w:rPr>
              <w:t xml:space="preserve">Нейтрализаторы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Глушители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3-я ступень</w:t>
            </w:r>
          </w:p>
          <w:p>
            <w:pPr>
              <w:jc w:val="left"/>
            </w:pPr>
            <w:r>
              <w:rPr>
                <w:rFonts w:ascii="Arial" w:cs="Arial" w:eastAsia="Arial" w:hAnsi="Arial"/>
                <w:sz w:val="24"/>
                <w:szCs w:val="24"/>
              </w:rPr>
              <w:t xml:space="preserve"> Фильтр твердых частиц</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Электродвигатель электромобиля (марка, тип).</w:t>
            </w:r>
          </w:p>
        </w:tc>
        <w:tc>
          <w:tcPr>
            <w:tcW w:type="dxa" w:w="2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Постоянного или переменного тока, в случае переменного тока - синхронный или асинхронный, количество фаз</w:t>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Максимальная 30-минутная мощность, кВт</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Устройство накопления энергии.</w:t>
            </w:r>
          </w:p>
        </w:tc>
        <w:tc>
          <w:tcPr>
            <w:tcW w:type="dxa" w:w="2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Только для электромобилей и гибридных транспортных средств;</w:t>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Батарея (марка, тип).</w:t>
            </w:r>
          </w:p>
          <w:p>
            <w:pPr>
              <w:jc w:val="left"/>
            </w:pPr>
            <w:r>
              <w:rPr>
                <w:rFonts w:ascii="Arial" w:cs="Arial" w:eastAsia="Arial" w:hAnsi="Arial"/>
                <w:sz w:val="24"/>
                <w:szCs w:val="24"/>
              </w:rPr>
              <w:t xml:space="preserve">Электрохимическая пара.</w:t>
            </w:r>
          </w:p>
          <w:p>
            <w:pPr>
              <w:jc w:val="left"/>
            </w:pPr>
            <w:r>
              <w:rPr>
                <w:rFonts w:ascii="Arial" w:cs="Arial" w:eastAsia="Arial" w:hAnsi="Arial"/>
                <w:sz w:val="24"/>
                <w:szCs w:val="24"/>
              </w:rPr>
              <w:t xml:space="preserve">Количество элементов.</w:t>
            </w:r>
          </w:p>
          <w:p>
            <w:pPr>
              <w:jc w:val="left"/>
            </w:pPr>
            <w:r>
              <w:rPr>
                <w:rFonts w:ascii="Arial" w:cs="Arial" w:eastAsia="Arial" w:hAnsi="Arial"/>
                <w:sz w:val="24"/>
                <w:szCs w:val="24"/>
              </w:rPr>
              <w:t xml:space="preserve">Масса, кг.</w:t>
            </w:r>
          </w:p>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Емкость, А•ч.</w:t>
            </w:r>
          </w:p>
          <w:p>
            <w:pPr>
              <w:jc w:val="left"/>
            </w:pPr>
            <w:r>
              <w:rPr>
                <w:rFonts w:ascii="Arial" w:cs="Arial" w:eastAsia="Arial" w:hAnsi="Arial"/>
                <w:sz w:val="24"/>
                <w:szCs w:val="24"/>
              </w:rPr>
              <w:t xml:space="preserve">Место расположения.</w:t>
            </w:r>
          </w:p>
          <w:p>
            <w:pPr>
              <w:jc w:val="left"/>
            </w:pPr>
            <w:r>
              <w:rPr>
                <w:rFonts w:ascii="Arial" w:cs="Arial" w:eastAsia="Arial" w:hAnsi="Arial"/>
                <w:sz w:val="24"/>
                <w:szCs w:val="24"/>
              </w:rPr>
              <w:t xml:space="preserve">Конденсатор (марка, тип).</w:t>
            </w:r>
          </w:p>
          <w:p>
            <w:pPr>
              <w:jc w:val="left"/>
            </w:pPr>
            <w:r>
              <w:rPr>
                <w:rFonts w:ascii="Arial" w:cs="Arial" w:eastAsia="Arial" w:hAnsi="Arial"/>
                <w:sz w:val="24"/>
                <w:szCs w:val="24"/>
              </w:rPr>
              <w:t xml:space="preserve">Энергоемкость, Дж.</w:t>
            </w:r>
          </w:p>
          <w:p>
            <w:pPr>
              <w:jc w:val="left"/>
            </w:pPr>
            <w:r>
              <w:rPr>
                <w:rFonts w:ascii="Arial" w:cs="Arial" w:eastAsia="Arial" w:hAnsi="Arial"/>
                <w:sz w:val="24"/>
                <w:szCs w:val="24"/>
              </w:rPr>
              <w:t xml:space="preserve">Маховик/генератор (марка, тип)</w:t>
            </w:r>
          </w:p>
        </w:tc>
        <w:tc>
          <w:tcPr>
            <w:tcW w:type="dxa" w:w="2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батарея, конденсатор, маховик/генератор</w:t>
            </w:r>
          </w:p>
        </w:tc>
      </w:tr>
      <w:tr>
        <w:tc>
          <w:tcPr>
            <w:tcW w:type="dxa" w:w="72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Трансмиссия.</w:t>
            </w:r>
          </w:p>
        </w:tc>
        <w:tc>
          <w:tcPr>
            <w:tcW w:type="dxa" w:w="2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Тип и описание схемы трансмиссии;</w:t>
            </w:r>
          </w:p>
        </w:tc>
      </w:tr>
      <w:tr>
        <w:tc>
          <w:tcPr>
            <w:tcW w:type="dxa" w:w="72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Электромашина (марка, тип).</w:t>
            </w:r>
          </w:p>
        </w:tc>
        <w:tc>
          <w:tcPr>
            <w:tcW w:type="dxa" w:w="2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описание каждой электромашины: основная функция (двигатель или генератор), постоянного или переменного тока, в случае переменного тока - синхронный или асинхронный, количество фаз</w:t>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Максимальная 30-минутная мощность, кВт.</w:t>
            </w:r>
          </w:p>
          <w:p>
            <w:pPr>
              <w:jc w:val="left"/>
            </w:pPr>
            <w:r>
              <w:rPr>
                <w:rFonts w:ascii="Arial" w:cs="Arial" w:eastAsia="Arial" w:hAnsi="Arial"/>
                <w:sz w:val="24"/>
                <w:szCs w:val="24"/>
              </w:rPr>
              <w:t xml:space="preserve">Сцепление (марка, тип).</w:t>
            </w:r>
          </w:p>
          <w:p>
            <w:pPr>
              <w:jc w:val="left"/>
            </w:pPr>
            <w:r>
              <w:rPr>
                <w:rFonts w:ascii="Arial" w:cs="Arial" w:eastAsia="Arial" w:hAnsi="Arial"/>
                <w:sz w:val="24"/>
                <w:szCs w:val="24"/>
              </w:rPr>
              <w:t xml:space="preserve">Коробка передач (марка, тип), число передач и передаточные числа.</w:t>
            </w:r>
          </w:p>
          <w:p>
            <w:pPr>
              <w:jc w:val="left"/>
            </w:pPr>
            <w:r>
              <w:rPr>
                <w:rFonts w:ascii="Arial" w:cs="Arial" w:eastAsia="Arial" w:hAnsi="Arial"/>
                <w:sz w:val="24"/>
                <w:szCs w:val="24"/>
              </w:rPr>
              <w:t xml:space="preserve">Раздаточная коробка (тип), число передач и передаточные числа.</w:t>
            </w:r>
          </w:p>
          <w:p>
            <w:pPr>
              <w:jc w:val="left"/>
            </w:pPr>
            <w:r>
              <w:rPr>
                <w:rFonts w:ascii="Arial" w:cs="Arial" w:eastAsia="Arial" w:hAnsi="Arial"/>
                <w:sz w:val="24"/>
                <w:szCs w:val="24"/>
              </w:rPr>
              <w:t xml:space="preserve">Главная передача (тип), передаточное число</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Подвески:</w:t>
            </w:r>
          </w:p>
          <w:p>
            <w:pPr>
              <w:jc w:val="left"/>
            </w:pPr>
            <w:r>
              <w:rPr>
                <w:rFonts w:ascii="Arial" w:cs="Arial" w:eastAsia="Arial" w:hAnsi="Arial"/>
                <w:sz w:val="24"/>
                <w:szCs w:val="24"/>
              </w:rPr>
              <w:t xml:space="preserve">- передняя (описание);</w:t>
            </w:r>
          </w:p>
          <w:p>
            <w:pPr>
              <w:jc w:val="left"/>
            </w:pPr>
            <w:r>
              <w:rPr>
                <w:rFonts w:ascii="Arial" w:cs="Arial" w:eastAsia="Arial" w:hAnsi="Arial"/>
                <w:sz w:val="24"/>
                <w:szCs w:val="24"/>
              </w:rPr>
              <w:t xml:space="preserve">- задняя (описание)</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Рулевое управление (описание) -</w:t>
            </w:r>
          </w:p>
          <w:p>
            <w:pPr>
              <w:jc w:val="left"/>
            </w:pPr>
            <w:r>
              <w:rPr>
                <w:rFonts w:ascii="Arial" w:cs="Arial" w:eastAsia="Arial" w:hAnsi="Arial"/>
                <w:sz w:val="24"/>
                <w:szCs w:val="24"/>
              </w:rPr>
              <w:t xml:space="preserve">рулевой механизм (тип)</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Тормозные системы:</w:t>
            </w:r>
          </w:p>
          <w:p>
            <w:pPr>
              <w:jc w:val="left"/>
            </w:pPr>
            <w:r>
              <w:rPr>
                <w:rFonts w:ascii="Arial" w:cs="Arial" w:eastAsia="Arial" w:hAnsi="Arial"/>
                <w:sz w:val="24"/>
                <w:szCs w:val="24"/>
              </w:rPr>
              <w:t xml:space="preserve">- рабочая (описание);</w:t>
            </w:r>
          </w:p>
          <w:p>
            <w:pPr>
              <w:jc w:val="left"/>
            </w:pPr>
            <w:r>
              <w:rPr>
                <w:rFonts w:ascii="Arial" w:cs="Arial" w:eastAsia="Arial" w:hAnsi="Arial"/>
                <w:sz w:val="24"/>
                <w:szCs w:val="24"/>
              </w:rPr>
              <w:t xml:space="preserve">- запасная (описание);</w:t>
            </w:r>
          </w:p>
          <w:p>
            <w:pPr>
              <w:jc w:val="left"/>
            </w:pPr>
            <w:r>
              <w:rPr>
                <w:rFonts w:ascii="Arial" w:cs="Arial" w:eastAsia="Arial" w:hAnsi="Arial"/>
                <w:sz w:val="24"/>
                <w:szCs w:val="24"/>
              </w:rPr>
              <w:t xml:space="preserve">- стояночная (описание);</w:t>
            </w:r>
          </w:p>
          <w:p>
            <w:pPr>
              <w:jc w:val="left"/>
            </w:pPr>
            <w:r>
              <w:rPr>
                <w:rFonts w:ascii="Arial" w:cs="Arial" w:eastAsia="Arial" w:hAnsi="Arial"/>
                <w:sz w:val="24"/>
                <w:szCs w:val="24"/>
              </w:rPr>
              <w:t xml:space="preserve">- вспомогательная (износостойкая) (описание)</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w:t>
            </w:r>
          </w:p>
          <w:p>
            <w:pPr>
              <w:jc w:val="left"/>
            </w:pPr>
            <w:r>
              <w:rPr>
                <w:rFonts w:ascii="Arial" w:cs="Arial" w:eastAsia="Arial" w:hAnsi="Arial"/>
                <w:sz w:val="24"/>
                <w:szCs w:val="24"/>
              </w:rPr>
              <w:t xml:space="preserve">- обозначение размера;</w:t>
            </w:r>
          </w:p>
          <w:p>
            <w:pPr>
              <w:jc w:val="left"/>
            </w:pPr>
            <w:r>
              <w:rPr>
                <w:rFonts w:ascii="Arial" w:cs="Arial" w:eastAsia="Arial" w:hAnsi="Arial"/>
                <w:sz w:val="24"/>
                <w:szCs w:val="24"/>
              </w:rPr>
              <w:t xml:space="preserve">- индекс несущей способности для максимально допустимой нагрузки;</w:t>
            </w:r>
          </w:p>
          <w:p>
            <w:pPr>
              <w:jc w:val="left"/>
            </w:pPr>
            <w:r>
              <w:rPr>
                <w:rFonts w:ascii="Arial" w:cs="Arial" w:eastAsia="Arial" w:hAnsi="Arial"/>
                <w:sz w:val="24"/>
                <w:szCs w:val="24"/>
              </w:rPr>
              <w:t xml:space="preserve">- обозначение категории скорости</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шасси</w:t>
            </w:r>
          </w:p>
        </w:tc>
        <w:tc>
          <w:tcPr>
            <w:tcW w:type="dxa" w:w="2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Кондиционер, электроблокировка замков дверей, радиооборудование, антенна, устройство (система) вызова экстренных оперативных служб</w:t>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органа по сертификации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Сведения о маркировке компонентов могут не указываться в общем техническом описании и настоящем приложении, если они не содержатся в доказательственных материалах по отдельным требованиям.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Заключению об оценке типа шасси</w:t>
      </w:r>
    </w:p>
    <w:p>
      <w:pPr>
        <w:spacing w:after="400" w:before="400"/>
        <w:jc w:val="center"/>
      </w:pPr>
      <w:r>
        <w:rPr>
          <w:rFonts w:ascii="Arial" w:cs="Arial" w:eastAsia="Arial" w:hAnsi="Arial"/>
          <w:b/>
          <w:bCs/>
          <w:sz w:val="32"/>
          <w:szCs w:val="32"/>
        </w:rPr>
        <w:t xml:space="preserve">Перечень документов, явившихся основанием для оформления заключения об оценке типа шасси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Элементы объектов технического регулирования, в отношении которых установлены требования безопасности</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и происхождение документа, подтверждающего соответствие</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номер документа(*)</w:t>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органа по сертификации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Для Правил ООН № 30 и 54 в настоящем перечне приводится следующее примечание: "Допускается установка шин, соответствующих критериям размерности, минимально допустимого индекса нагрузки и минимальной скоростной категории и имеющих иные подтверждающие соответствие документы (при наличии на шинах маркировки по Правилу ООН № 30 или 54 и при условии представления в экспертную организацию информации об указанной маркировке)". Указанная запись может корректироваться в зависимости от типов устанавливаемых шин.</w:t>
      </w:r>
    </w:p>
    <w:p>
      <w:pPr>
        <w:spacing w:after="60"/>
        <w:ind w:firstLine="567"/>
        <w:jc w:val="both"/>
      </w:pPr>
      <w:r>
        <w:rPr>
          <w:rFonts w:ascii="Arial" w:cs="Arial" w:eastAsia="Arial" w:hAnsi="Arial"/>
          <w:sz w:val="24"/>
          <w:szCs w:val="24"/>
        </w:rPr>
        <w:t xml:space="preserve">Допускается не указывать номера сообщений об официальном утверждении типа по отдельным ремням безопасности, звуковым сигнальным приборам, стеклам, зеркалам и сцепным устройствам в случае, если имеется перечень названных компонентов с указанием номеров этих сообщений и их маркировки в сообщениях по Правилам ООН № 16, 28, 43, 46, 48 и 55 на установку соответственно ремней безопасности, звуковых сигнальных приборов, стекол, зеркал заднего вида, устройств освещения и световой сигнализации, а также сцепных устройств.</w:t>
      </w:r>
    </w:p>
    <w:p>
      <w:pPr>
        <w:spacing w:after="60"/>
        <w:ind w:firstLine="567"/>
        <w:jc w:val="both"/>
      </w:pPr>
      <w:r>
        <w:rPr>
          <w:rFonts w:ascii="Arial" w:cs="Arial" w:eastAsia="Arial" w:hAnsi="Arial"/>
          <w:sz w:val="24"/>
          <w:szCs w:val="24"/>
        </w:rPr>
        <w:t xml:space="preserve">____________________</w:t>
      </w:r>
    </w:p>
    <w:p>
      <w:pPr>
        <w:spacing w:after="60"/>
        <w:ind w:firstLine="567"/>
        <w:jc w:val="both"/>
      </w:pPr>
      <w:r>
        <w:rPr>
          <w:rFonts w:ascii="Arial" w:cs="Arial" w:eastAsia="Arial" w:hAnsi="Arial"/>
          <w:sz w:val="24"/>
          <w:szCs w:val="24"/>
        </w:rPr>
        <w:t xml:space="preserve">(*) Для документов, оформленных на ограниченный срок действия, указываются даты начала и окончания действия.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Заключению об оценке типа шасси</w:t>
      </w:r>
    </w:p>
    <w:p>
      <w:pPr>
        <w:spacing w:after="400" w:before="400"/>
        <w:jc w:val="center"/>
      </w:pPr>
      <w:r>
        <w:rPr>
          <w:rFonts w:ascii="Arial" w:cs="Arial" w:eastAsia="Arial" w:hAnsi="Arial"/>
          <w:b/>
          <w:bCs/>
          <w:sz w:val="32"/>
          <w:szCs w:val="32"/>
        </w:rPr>
        <w:t xml:space="preserve">Описание маркировки шасси</w:t>
      </w:r>
    </w:p>
    <w:p>
      <w:pPr>
        <w:spacing w:after="60"/>
        <w:ind w:firstLine="567"/>
        <w:jc w:val="both"/>
      </w:pPr>
      <w:r>
        <w:rPr>
          <w:rFonts w:ascii="Arial" w:cs="Arial" w:eastAsia="Arial" w:hAnsi="Arial"/>
          <w:sz w:val="24"/>
          <w:szCs w:val="24"/>
        </w:rPr>
        <w:t xml:space="preserve">Место расположения таблички изготовителя __________________________________________</w:t>
      </w:r>
    </w:p>
    <w:p>
      <w:pPr>
        <w:spacing w:after="60"/>
        <w:ind w:firstLine="567"/>
        <w:jc w:val="both"/>
      </w:pPr>
      <w:r>
        <w:rPr>
          <w:rFonts w:ascii="Arial" w:cs="Arial" w:eastAsia="Arial" w:hAnsi="Arial"/>
          <w:sz w:val="24"/>
          <w:szCs w:val="24"/>
        </w:rPr>
        <w:t xml:space="preserve">Место расположения идентификационного номера _____________________________________</w:t>
      </w:r>
    </w:p>
    <w:p>
      <w:pPr>
        <w:spacing w:after="120"/>
        <w:ind w:firstLine="567"/>
        <w:jc w:val="both"/>
      </w:pPr>
      <w:r>
        <w:rPr>
          <w:rFonts w:ascii="Arial" w:cs="Arial" w:eastAsia="Arial" w:hAnsi="Arial"/>
          <w:sz w:val="24"/>
          <w:szCs w:val="24"/>
        </w:rPr>
        <w:t xml:space="preserve">Структура и содержание идентификационного номера (номеров) шасси: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
        <w:gridCol w:w="599"/>
        <w:gridCol w:w="599"/>
        <w:gridCol w:w="599"/>
        <w:gridCol w:w="599"/>
        <w:gridCol w:w="599"/>
        <w:gridCol w:w="599"/>
        <w:gridCol w:w="599"/>
        <w:gridCol w:w="599"/>
        <w:gridCol w:w="599"/>
        <w:gridCol w:w="599"/>
        <w:gridCol w:w="599"/>
        <w:gridCol w:w="599"/>
        <w:gridCol w:w="599"/>
        <w:gridCol w:w="599"/>
        <w:gridCol w:w="599"/>
        <w:gridCol w:w="599"/>
      </w:tblGrid>
      <w:tr>
        <w:tc>
          <w:tcPr>
            <w:tcW w:type="dxa" w:w="59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органа по сертификации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к Положению о временных требованиях и порядке проведения оценки соответствия отдельных колесных транспортных средств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об оценке единичного транспортного средства</w:t>
      </w:r>
      <w:r>
        <w:rPr>
          <w:rFonts w:ascii="Arial" w:cs="Arial" w:eastAsia="Arial" w:hAnsi="Arial"/>
          <w:b/>
          <w:bCs/>
          <w:sz w:val="24"/>
          <w:szCs w:val="24"/>
        </w:rPr>
        <w:t xml:space="preserve">№</w:t>
      </w:r>
      <w:r>
        <w:rPr>
          <w:rFonts w:ascii="Arial" w:cs="Arial" w:eastAsia="Arial" w:hAnsi="Arial"/>
          <w:b/>
          <w:bCs/>
          <w:sz w:val="24"/>
          <w:szCs w:val="24"/>
        </w:rPr>
        <w:t xml:space="preserve"> _______________________</w:t>
      </w:r>
      <w:r>
        <w:rPr>
          <w:rFonts w:ascii="Arial" w:cs="Arial" w:eastAsia="Arial" w:hAnsi="Arial"/>
          <w:b/>
          <w:bCs/>
          <w:sz w:val="24"/>
          <w:szCs w:val="24"/>
        </w:rPr>
        <w:t xml:space="preserve">_</w:t>
      </w:r>
    </w:p>
    <w:p>
      <w:pPr>
        <w:spacing w:after="60"/>
        <w:jc w:val="center"/>
      </w:pPr>
      <w:r>
        <w:rPr>
          <w:rFonts w:ascii="Arial" w:cs="Arial" w:eastAsia="Arial" w:hAnsi="Arial"/>
          <w:sz w:val="24"/>
          <w:szCs w:val="24"/>
        </w:rPr>
        <w:t xml:space="preserve">Аккредитованная испытательная лаборатория _</w:t>
      </w:r>
      <w:r>
        <w:rPr>
          <w:rFonts w:ascii="Arial" w:cs="Arial" w:eastAsia="Arial" w:hAnsi="Arial"/>
          <w:sz w:val="24"/>
          <w:szCs w:val="24"/>
        </w:rPr>
        <w:t xml:space="preserve">_________________________________
 </w:t>
      </w:r>
      <w:r>
        <w:rPr>
          <w:rFonts w:ascii="Arial" w:cs="Arial" w:eastAsia="Arial" w:hAnsi="Arial"/>
          <w:sz w:val="24"/>
          <w:szCs w:val="24"/>
        </w:rPr>
        <w:t xml:space="preserve">(полное и сокращенное наименование, адрес, номер,</w:t>
      </w:r>
      <w:r>
        <w:rPr>
          <w:rFonts w:ascii="Arial" w:cs="Arial" w:eastAsia="Arial" w:hAnsi="Arial"/>
          <w:sz w:val="24"/>
          <w:szCs w:val="24"/>
        </w:rPr>
        <w:t xml:space="preserve">
 ___________________________________________________________________________
 </w:t>
      </w:r>
      <w:r>
        <w:rPr>
          <w:rFonts w:ascii="Arial" w:cs="Arial" w:eastAsia="Arial" w:hAnsi="Arial"/>
          <w:sz w:val="24"/>
          <w:szCs w:val="24"/>
        </w:rPr>
        <w:t xml:space="preserve">окончание срока действия аттестата аккредитации)</w:t>
      </w:r>
    </w:p>
    <w:p>
      <w:pPr>
        <w:spacing w:after="200" w:before="200"/>
        <w:jc w:val="center"/>
      </w:pPr>
      <w:r>
        <w:rPr>
          <w:rFonts w:ascii="Arial" w:cs="Arial" w:eastAsia="Arial" w:hAnsi="Arial"/>
          <w:b/>
          <w:bCs/>
          <w:sz w:val="32"/>
          <w:szCs w:val="32"/>
        </w:rPr>
        <w:t xml:space="preserve">ТРАНСПОРТНОЕ СРЕДСТВО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МАРКА</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КОММЕРЧЕСКОЕ НАИМЕНОВАНИЕ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БАЗОВОЕ ТРАНСПОРТНОЕ СРЕДСТВС (ШАССИ)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при использовании базового транспортного средства (шасси) другого изготовителя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МОДИФИКАЦИИ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(VIN)</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 ПРОИЗВОДСТВА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ЭКОЛОГИЧЕСКИИ КЛАСС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ЗАЯВИТЕЛЬ И ЕГО АДРЕС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ИЗГОТОВИТЕЛЬ И ЕГО АДРЕС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СБОРОЧНЫЙ ЗАВОД И ЕГО АДРЕС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Общие характеристики транспортного средства</w:t>
      </w:r>
    </w:p>
    <w:p>
      <w:pPr>
        <w:spacing w:after="120"/>
        <w:jc w:val="left"/>
      </w:pPr>
      <w:r>
        <w:rPr>
          <w:rFonts w:ascii="Arial" w:cs="Arial" w:eastAsia="Arial" w:hAnsi="Arial"/>
          <w:sz w:val="24"/>
          <w:szCs w:val="24"/>
        </w:rPr>
        <w:t xml:space="preserve">Колесная формула/ведущие колеса ____________________________________________________________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04"/>
        <w:gridCol w:w="2874"/>
      </w:tblGrid>
      <w:tr>
        <w:tc>
          <w:tcPr>
            <w:tcW w:type="dxa" w:w="73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Двигатель внутреннего сгорания (марка, тип):</w:t>
            </w:r>
          </w:p>
          <w:p>
            <w:pPr>
              <w:jc w:val="left"/>
            </w:pPr>
            <w:r>
              <w:rPr>
                <w:rFonts w:ascii="Arial" w:cs="Arial" w:eastAsia="Arial" w:hAnsi="Arial"/>
                <w:sz w:val="24"/>
                <w:szCs w:val="24"/>
              </w:rPr>
              <w:t xml:space="preserve">- количество и расположение цилиндров;</w:t>
            </w:r>
          </w:p>
          <w:p>
            <w:pPr>
              <w:jc w:val="left"/>
            </w:pPr>
            <w:r>
              <w:rPr>
                <w:rFonts w:ascii="Arial" w:cs="Arial" w:eastAsia="Arial" w:hAnsi="Arial"/>
                <w:sz w:val="24"/>
                <w:szCs w:val="24"/>
              </w:rPr>
              <w:t xml:space="preserve">- рабочий объем цилиндров, см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 степень сжатия;</w:t>
            </w:r>
          </w:p>
          <w:p>
            <w:pPr>
              <w:jc w:val="left"/>
            </w:pPr>
            <w:r>
              <w:rPr>
                <w:rFonts w:ascii="Arial" w:cs="Arial" w:eastAsia="Arial" w:hAnsi="Arial"/>
                <w:sz w:val="24"/>
                <w:szCs w:val="24"/>
              </w:rPr>
              <w:t xml:space="preserve">- максимальная мощность, кВт (мин</w:t>
            </w:r>
            <w:r>
              <w:rPr>
                <w:rFonts w:ascii="Arial" w:cs="Arial" w:eastAsia="Arial" w:hAnsi="Arial"/>
                <w:sz w:val="24"/>
                <w:szCs w:val="24"/>
              </w:rPr>
              <w:t xml:space="preserve">-1</w:t>
            </w:r>
            <w:r>
              <w:rPr>
                <w:rFonts w:ascii="Arial" w:cs="Arial" w:eastAsia="Arial" w:hAnsi="Arial"/>
                <w:sz w:val="24"/>
                <w:szCs w:val="24"/>
              </w:rPr>
              <w:t xml:space="preserve">);</w:t>
            </w:r>
          </w:p>
          <w:p>
            <w:pPr>
              <w:jc w:val="left"/>
            </w:pPr>
            <w:r>
              <w:rPr>
                <w:rFonts w:ascii="Arial" w:cs="Arial" w:eastAsia="Arial" w:hAnsi="Arial"/>
                <w:sz w:val="24"/>
                <w:szCs w:val="24"/>
              </w:rPr>
              <w:t xml:space="preserve">- максимальный крутящий момент, Н•м (мин</w:t>
            </w:r>
            <w:r>
              <w:rPr>
                <w:rFonts w:ascii="Arial" w:cs="Arial" w:eastAsia="Arial" w:hAnsi="Arial"/>
                <w:sz w:val="24"/>
                <w:szCs w:val="24"/>
              </w:rPr>
              <w:t xml:space="preserve">-1</w:t>
            </w:r>
            <w:r>
              <w:rPr>
                <w:rFonts w:ascii="Arial" w:cs="Arial" w:eastAsia="Arial" w:hAnsi="Arial"/>
                <w:sz w:val="24"/>
                <w:szCs w:val="24"/>
              </w:rPr>
              <w:t xml:space="preserve">);</w:t>
            </w:r>
          </w:p>
          <w:p>
            <w:pPr>
              <w:jc w:val="left"/>
            </w:pPr>
            <w:r>
              <w:rPr>
                <w:rFonts w:ascii="Arial" w:cs="Arial" w:eastAsia="Arial" w:hAnsi="Arial"/>
                <w:sz w:val="24"/>
                <w:szCs w:val="24"/>
              </w:rPr>
              <w:t xml:space="preserve">Топливо</w:t>
            </w:r>
          </w:p>
        </w:tc>
        <w:tc>
          <w:tcPr>
            <w:tcW w:type="dxa" w:w="28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метод измерения</w:t>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питания (тип).</w:t>
            </w:r>
          </w:p>
          <w:p>
            <w:pPr>
              <w:jc w:val="left"/>
            </w:pPr>
            <w:r>
              <w:rPr>
                <w:rFonts w:ascii="Arial" w:cs="Arial" w:eastAsia="Arial" w:hAnsi="Arial"/>
                <w:sz w:val="24"/>
                <w:szCs w:val="24"/>
              </w:rPr>
              <w:t xml:space="preserve">Карбюратор (тип, маркировка).</w:t>
            </w:r>
          </w:p>
          <w:p>
            <w:pPr>
              <w:jc w:val="left"/>
            </w:pPr>
            <w:r>
              <w:rPr>
                <w:rFonts w:ascii="Arial" w:cs="Arial" w:eastAsia="Arial" w:hAnsi="Arial"/>
                <w:sz w:val="24"/>
                <w:szCs w:val="24"/>
              </w:rPr>
              <w:t xml:space="preserve">Блок управления (маркировка).</w:t>
            </w:r>
          </w:p>
          <w:p>
            <w:pPr>
              <w:jc w:val="left"/>
            </w:pPr>
            <w:r>
              <w:rPr>
                <w:rFonts w:ascii="Arial" w:cs="Arial" w:eastAsia="Arial" w:hAnsi="Arial"/>
                <w:sz w:val="24"/>
                <w:szCs w:val="24"/>
              </w:rPr>
              <w:t xml:space="preserve">Топливный насос высокого давления (тип, маркировка).</w:t>
            </w:r>
          </w:p>
          <w:p>
            <w:pPr>
              <w:jc w:val="left"/>
            </w:pPr>
            <w:r>
              <w:rPr>
                <w:rFonts w:ascii="Arial" w:cs="Arial" w:eastAsia="Arial" w:hAnsi="Arial"/>
                <w:sz w:val="24"/>
                <w:szCs w:val="24"/>
              </w:rPr>
              <w:t xml:space="preserve">Форсунки (тип, маркировка).</w:t>
            </w:r>
          </w:p>
          <w:p>
            <w:pPr>
              <w:jc w:val="left"/>
            </w:pPr>
            <w:r>
              <w:rPr>
                <w:rFonts w:ascii="Arial" w:cs="Arial" w:eastAsia="Arial" w:hAnsi="Arial"/>
                <w:sz w:val="24"/>
                <w:szCs w:val="24"/>
              </w:rPr>
              <w:t xml:space="preserve">Нагнетатель воздуха (тип, маркировка).</w:t>
            </w:r>
          </w:p>
          <w:p>
            <w:pPr>
              <w:jc w:val="left"/>
            </w:pPr>
            <w:r>
              <w:rPr>
                <w:rFonts w:ascii="Arial" w:cs="Arial" w:eastAsia="Arial" w:hAnsi="Arial"/>
                <w:sz w:val="24"/>
                <w:szCs w:val="24"/>
              </w:rPr>
              <w:t xml:space="preserve">Воздушный фильтр (тип, маркировка).</w:t>
            </w:r>
          </w:p>
          <w:p>
            <w:pPr>
              <w:jc w:val="left"/>
            </w:pPr>
            <w:r>
              <w:rPr>
                <w:rFonts w:ascii="Arial" w:cs="Arial" w:eastAsia="Arial" w:hAnsi="Arial"/>
                <w:sz w:val="24"/>
                <w:szCs w:val="24"/>
              </w:rPr>
              <w:t xml:space="preserve">Глушители шума впуска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3-я ступень</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зажигания (тип).</w:t>
            </w:r>
          </w:p>
          <w:p>
            <w:pPr>
              <w:jc w:val="left"/>
            </w:pPr>
            <w:r>
              <w:rPr>
                <w:rFonts w:ascii="Arial" w:cs="Arial" w:eastAsia="Arial" w:hAnsi="Arial"/>
                <w:sz w:val="24"/>
                <w:szCs w:val="24"/>
              </w:rPr>
              <w:t xml:space="preserve">Распределитель (маркировка).</w:t>
            </w:r>
          </w:p>
          <w:p>
            <w:pPr>
              <w:jc w:val="left"/>
            </w:pPr>
            <w:r>
              <w:rPr>
                <w:rFonts w:ascii="Arial" w:cs="Arial" w:eastAsia="Arial" w:hAnsi="Arial"/>
                <w:sz w:val="24"/>
                <w:szCs w:val="24"/>
              </w:rPr>
              <w:t xml:space="preserve">Коммутатор (маркировка).</w:t>
            </w:r>
          </w:p>
          <w:p>
            <w:pPr>
              <w:jc w:val="left"/>
            </w:pPr>
            <w:r>
              <w:rPr>
                <w:rFonts w:ascii="Arial" w:cs="Arial" w:eastAsia="Arial" w:hAnsi="Arial"/>
                <w:sz w:val="24"/>
                <w:szCs w:val="24"/>
              </w:rPr>
              <w:t xml:space="preserve">Катушка (модуль) зажигания (маркировка).</w:t>
            </w:r>
          </w:p>
          <w:p>
            <w:pPr>
              <w:jc w:val="left"/>
            </w:pPr>
            <w:r>
              <w:rPr>
                <w:rFonts w:ascii="Arial" w:cs="Arial" w:eastAsia="Arial" w:hAnsi="Arial"/>
                <w:sz w:val="24"/>
                <w:szCs w:val="24"/>
              </w:rPr>
              <w:t xml:space="preserve">Свечи (маркировка)</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выпуска и нейтрализации отработавших газов.</w:t>
            </w:r>
          </w:p>
          <w:p>
            <w:pPr>
              <w:jc w:val="left"/>
            </w:pPr>
            <w:r>
              <w:rPr>
                <w:rFonts w:ascii="Arial" w:cs="Arial" w:eastAsia="Arial" w:hAnsi="Arial"/>
                <w:sz w:val="24"/>
                <w:szCs w:val="24"/>
              </w:rPr>
              <w:t xml:space="preserve">Нейтрализаторы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Глушители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3-я ступень</w:t>
            </w:r>
          </w:p>
          <w:p>
            <w:pPr>
              <w:jc w:val="left"/>
            </w:pPr>
            <w:r>
              <w:rPr>
                <w:rFonts w:ascii="Arial" w:cs="Arial" w:eastAsia="Arial" w:hAnsi="Arial"/>
                <w:sz w:val="24"/>
                <w:szCs w:val="24"/>
              </w:rPr>
              <w:t xml:space="preserve">Фильтр твердых частиц</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Электродвигатель электромобиля (марка, тип).</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Постоянного или переменного тока, в случае переменного тока - синхронный или асинхронный, количество фаз</w:t>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Максимальная 30-минутная мощность, кВт</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Устройство накопления энергии</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Только для электромобилей и гибридных транспортных средств</w:t>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Батарея (марка, тип).</w:t>
            </w:r>
          </w:p>
          <w:p>
            <w:pPr>
              <w:jc w:val="left"/>
            </w:pPr>
            <w:r>
              <w:rPr>
                <w:rFonts w:ascii="Arial" w:cs="Arial" w:eastAsia="Arial" w:hAnsi="Arial"/>
                <w:sz w:val="24"/>
                <w:szCs w:val="24"/>
              </w:rPr>
              <w:t xml:space="preserve">Электрохимическая пара.</w:t>
            </w:r>
          </w:p>
          <w:p>
            <w:pPr>
              <w:jc w:val="left"/>
            </w:pPr>
            <w:r>
              <w:rPr>
                <w:rFonts w:ascii="Arial" w:cs="Arial" w:eastAsia="Arial" w:hAnsi="Arial"/>
                <w:sz w:val="24"/>
                <w:szCs w:val="24"/>
              </w:rPr>
              <w:t xml:space="preserve">Количество элементов.</w:t>
            </w:r>
          </w:p>
          <w:p>
            <w:pPr>
              <w:jc w:val="left"/>
            </w:pPr>
            <w:r>
              <w:rPr>
                <w:rFonts w:ascii="Arial" w:cs="Arial" w:eastAsia="Arial" w:hAnsi="Arial"/>
                <w:sz w:val="24"/>
                <w:szCs w:val="24"/>
              </w:rPr>
              <w:t xml:space="preserve">Масса, кг.</w:t>
            </w:r>
          </w:p>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Емкость, А•ч.</w:t>
            </w:r>
          </w:p>
          <w:p>
            <w:pPr>
              <w:jc w:val="left"/>
            </w:pPr>
            <w:r>
              <w:rPr>
                <w:rFonts w:ascii="Arial" w:cs="Arial" w:eastAsia="Arial" w:hAnsi="Arial"/>
                <w:sz w:val="24"/>
                <w:szCs w:val="24"/>
              </w:rPr>
              <w:t xml:space="preserve">Место расположения.</w:t>
            </w:r>
          </w:p>
          <w:p>
            <w:pPr>
              <w:jc w:val="left"/>
            </w:pPr>
            <w:r>
              <w:rPr>
                <w:rFonts w:ascii="Arial" w:cs="Arial" w:eastAsia="Arial" w:hAnsi="Arial"/>
                <w:sz w:val="24"/>
                <w:szCs w:val="24"/>
              </w:rPr>
              <w:t xml:space="preserve">Конденсатор (марка, тип).</w:t>
            </w:r>
          </w:p>
          <w:p>
            <w:pPr>
              <w:jc w:val="left"/>
            </w:pPr>
            <w:r>
              <w:rPr>
                <w:rFonts w:ascii="Arial" w:cs="Arial" w:eastAsia="Arial" w:hAnsi="Arial"/>
                <w:sz w:val="24"/>
                <w:szCs w:val="24"/>
              </w:rPr>
              <w:t xml:space="preserve">Энергоемкость, Дж.</w:t>
            </w:r>
          </w:p>
          <w:p>
            <w:pPr>
              <w:jc w:val="left"/>
            </w:pPr>
            <w:r>
              <w:rPr>
                <w:rFonts w:ascii="Arial" w:cs="Arial" w:eastAsia="Arial" w:hAnsi="Arial"/>
                <w:sz w:val="24"/>
                <w:szCs w:val="24"/>
              </w:rPr>
              <w:t xml:space="preserve">Маховик/генератор (марка, тип)</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Батарея, конденсатор, маховик/генератор</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Трансмиссия.</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Тип и описание схемы трансмиссии;</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Электромашина (марка, тип).</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описание каждой электромашины: основная функция (двигатель или генератор), постоянного или переменного тока, в случае переменного тока - синхронный или асинхронный, количество фаз</w:t>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Максимальная 30-минутная мощность, кВт.</w:t>
            </w:r>
          </w:p>
          <w:p>
            <w:pPr>
              <w:jc w:val="left"/>
            </w:pPr>
            <w:r>
              <w:rPr>
                <w:rFonts w:ascii="Arial" w:cs="Arial" w:eastAsia="Arial" w:hAnsi="Arial"/>
                <w:sz w:val="24"/>
                <w:szCs w:val="24"/>
              </w:rPr>
              <w:t xml:space="preserve">Сцепление (марка, тип).</w:t>
            </w:r>
          </w:p>
          <w:p>
            <w:pPr>
              <w:jc w:val="left"/>
            </w:pPr>
            <w:r>
              <w:rPr>
                <w:rFonts w:ascii="Arial" w:cs="Arial" w:eastAsia="Arial" w:hAnsi="Arial"/>
                <w:sz w:val="24"/>
                <w:szCs w:val="24"/>
              </w:rPr>
              <w:t xml:space="preserve">Коробка передач (марка, тип), число передач и передаточные числа.</w:t>
            </w:r>
          </w:p>
          <w:p>
            <w:pPr>
              <w:jc w:val="left"/>
            </w:pPr>
            <w:r>
              <w:rPr>
                <w:rFonts w:ascii="Arial" w:cs="Arial" w:eastAsia="Arial" w:hAnsi="Arial"/>
                <w:sz w:val="24"/>
                <w:szCs w:val="24"/>
              </w:rPr>
              <w:t xml:space="preserve">Раздаточная коробка (тип), число передач и передаточные числа.</w:t>
            </w:r>
          </w:p>
          <w:p>
            <w:pPr>
              <w:jc w:val="left"/>
            </w:pPr>
            <w:r>
              <w:rPr>
                <w:rFonts w:ascii="Arial" w:cs="Arial" w:eastAsia="Arial" w:hAnsi="Arial"/>
                <w:sz w:val="24"/>
                <w:szCs w:val="24"/>
              </w:rPr>
              <w:t xml:space="preserve">Главная передача (тип), передаточное число</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Подвески:</w:t>
            </w:r>
          </w:p>
          <w:p>
            <w:pPr>
              <w:jc w:val="left"/>
            </w:pPr>
            <w:r>
              <w:rPr>
                <w:rFonts w:ascii="Arial" w:cs="Arial" w:eastAsia="Arial" w:hAnsi="Arial"/>
                <w:sz w:val="24"/>
                <w:szCs w:val="24"/>
              </w:rPr>
              <w:t xml:space="preserve">- передняя (описание);</w:t>
            </w:r>
          </w:p>
          <w:p>
            <w:pPr>
              <w:jc w:val="left"/>
            </w:pPr>
            <w:r>
              <w:rPr>
                <w:rFonts w:ascii="Arial" w:cs="Arial" w:eastAsia="Arial" w:hAnsi="Arial"/>
                <w:sz w:val="24"/>
                <w:szCs w:val="24"/>
              </w:rPr>
              <w:t xml:space="preserve">- задняя (описание)</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Рулевое управление (описание) -</w:t>
            </w:r>
          </w:p>
          <w:p>
            <w:pPr>
              <w:jc w:val="left"/>
            </w:pPr>
            <w:r>
              <w:rPr>
                <w:rFonts w:ascii="Arial" w:cs="Arial" w:eastAsia="Arial" w:hAnsi="Arial"/>
                <w:sz w:val="24"/>
                <w:szCs w:val="24"/>
              </w:rPr>
              <w:t xml:space="preserve">рулевой механизм (тип)</w:t>
            </w:r>
          </w:p>
          <w:p>
            <w:pPr>
              <w:jc w:val="left"/>
            </w:pPr>
            <w:r>
              <w:rPr>
                <w:rFonts w:ascii="Arial" w:cs="Arial" w:eastAsia="Arial" w:hAnsi="Arial"/>
                <w:sz w:val="24"/>
                <w:szCs w:val="24"/>
              </w:rPr>
              <w:t xml:space="preserve">Тормозные системы:</w:t>
            </w:r>
          </w:p>
          <w:p>
            <w:pPr>
              <w:jc w:val="left"/>
            </w:pPr>
            <w:r>
              <w:rPr>
                <w:rFonts w:ascii="Arial" w:cs="Arial" w:eastAsia="Arial" w:hAnsi="Arial"/>
                <w:sz w:val="24"/>
                <w:szCs w:val="24"/>
              </w:rPr>
              <w:t xml:space="preserve">- рабочая (описание);</w:t>
            </w:r>
          </w:p>
          <w:p>
            <w:pPr>
              <w:jc w:val="left"/>
            </w:pPr>
            <w:r>
              <w:rPr>
                <w:rFonts w:ascii="Arial" w:cs="Arial" w:eastAsia="Arial" w:hAnsi="Arial"/>
                <w:sz w:val="24"/>
                <w:szCs w:val="24"/>
              </w:rPr>
              <w:t xml:space="preserve">- запасная (описание);</w:t>
            </w:r>
          </w:p>
          <w:p>
            <w:pPr>
              <w:jc w:val="left"/>
            </w:pPr>
            <w:r>
              <w:rPr>
                <w:rFonts w:ascii="Arial" w:cs="Arial" w:eastAsia="Arial" w:hAnsi="Arial"/>
                <w:sz w:val="24"/>
                <w:szCs w:val="24"/>
              </w:rPr>
              <w:t xml:space="preserve">- стояночная (описание);</w:t>
            </w:r>
          </w:p>
          <w:p>
            <w:pPr>
              <w:jc w:val="left"/>
            </w:pPr>
            <w:r>
              <w:rPr>
                <w:rFonts w:ascii="Arial" w:cs="Arial" w:eastAsia="Arial" w:hAnsi="Arial"/>
                <w:sz w:val="24"/>
                <w:szCs w:val="24"/>
              </w:rPr>
              <w:t xml:space="preserve">- вспомогательная (износостойкая) (описание)</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w:t>
            </w:r>
          </w:p>
          <w:p>
            <w:pPr>
              <w:jc w:val="left"/>
            </w:pPr>
            <w:r>
              <w:rPr>
                <w:rFonts w:ascii="Arial" w:cs="Arial" w:eastAsia="Arial" w:hAnsi="Arial"/>
                <w:sz w:val="24"/>
                <w:szCs w:val="24"/>
              </w:rPr>
              <w:t xml:space="preserve">- обозначение размера;</w:t>
            </w:r>
          </w:p>
          <w:p>
            <w:pPr>
              <w:jc w:val="left"/>
            </w:pPr>
            <w:r>
              <w:rPr>
                <w:rFonts w:ascii="Arial" w:cs="Arial" w:eastAsia="Arial" w:hAnsi="Arial"/>
                <w:sz w:val="24"/>
                <w:szCs w:val="24"/>
              </w:rPr>
              <w:t xml:space="preserve">- индекс несущей способности для максимально допустимой нагрузки;</w:t>
            </w:r>
          </w:p>
          <w:p>
            <w:pPr>
              <w:jc w:val="left"/>
            </w:pPr>
            <w:r>
              <w:rPr>
                <w:rFonts w:ascii="Arial" w:cs="Arial" w:eastAsia="Arial" w:hAnsi="Arial"/>
                <w:sz w:val="24"/>
                <w:szCs w:val="24"/>
              </w:rPr>
              <w:t xml:space="preserve">- обозначение категории скорости</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транспортного средства</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Кондиционер, электроблокировка замков дверей, радиооборудование, антенна, устройство (система) вызова экстренных оперативных служб</w:t>
            </w:r>
          </w:p>
        </w:tc>
      </w:tr>
    </w:tbl>
    <w:p>
      <w:pPr>
        <w:spacing w:after="60" w:before="120"/>
        <w:ind w:firstLine="567"/>
        <w:jc w:val="both"/>
      </w:pPr>
      <w:r>
        <w:rPr>
          <w:rFonts w:ascii="Arial" w:cs="Arial" w:eastAsia="Arial" w:hAnsi="Arial"/>
          <w:sz w:val="24"/>
          <w:szCs w:val="24"/>
        </w:rPr>
        <w:t xml:space="preserve">Соответствует требованиям Положения о временных требованиях и порядке проведения оценки соответствия отдельных колесных транспортных средств.</w:t>
      </w:r>
    </w:p>
    <w:p>
      <w:pPr>
        <w:spacing w:after="60"/>
        <w:ind w:firstLine="567"/>
        <w:jc w:val="both"/>
      </w:pPr>
      <w:r>
        <w:rPr>
          <w:rFonts w:ascii="Arial" w:cs="Arial" w:eastAsia="Arial" w:hAnsi="Arial"/>
          <w:sz w:val="24"/>
          <w:szCs w:val="24"/>
        </w:rPr>
        <w:t xml:space="preserve">Дополнительная информация ______________________________________________________________</w:t>
      </w:r>
    </w:p>
    <w:p>
      <w:pPr>
        <w:spacing w:after="60"/>
        <w:ind w:firstLine="567"/>
        <w:jc w:val="both"/>
      </w:pPr>
      <w:r>
        <w:rPr>
          <w:rFonts w:ascii="Arial" w:cs="Arial" w:eastAsia="Arial" w:hAnsi="Arial"/>
          <w:sz w:val="24"/>
          <w:szCs w:val="24"/>
        </w:rPr>
        <w:t xml:space="preserve">                                                                    (возможность использования на дорогах</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общего пользования без ограничений или с ограничениями из-за превышения</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нормативов по габаритам и осевым массам, возможность использования в качестве</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маршрутного транспортного средства и другое)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оформления "____" ___________________ 20___ г.</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аккредитованной испытательной лаборатории
 (его заместитель или уполномоченный сотрудник)</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к Положению о временных требованиях и порядке проведения оценки соответствия отдельных колесных транспортных средств</w:t>
      </w:r>
    </w:p>
    <w:p>
      <w:pPr>
        <w:spacing w:after="400" w:before="400"/>
        <w:jc w:val="center"/>
      </w:pPr>
      <w:r>
        <w:rPr>
          <w:rFonts w:ascii="Arial" w:cs="Arial" w:eastAsia="Arial" w:hAnsi="Arial"/>
          <w:b/>
          <w:bCs/>
          <w:sz w:val="32"/>
          <w:szCs w:val="32"/>
        </w:rPr>
        <w:t xml:space="preserve">СТРУКТУРА
 номеров документов, удостоверяющих соответствие настоящему Положению</w:t>
      </w:r>
    </w:p>
    <w:p>
      <w:pPr>
        <w:spacing w:after="60"/>
        <w:ind w:firstLine="567"/>
        <w:jc w:val="both"/>
      </w:pPr>
      <w:r>
        <w:rPr>
          <w:rFonts w:ascii="Arial" w:cs="Arial" w:eastAsia="Arial" w:hAnsi="Arial"/>
          <w:sz w:val="24"/>
          <w:szCs w:val="24"/>
        </w:rPr>
        <w:t xml:space="preserve">Номер документа имеет следующую структуру:</w:t>
      </w:r>
    </w:p>
    <w:p>
      <w:pPr>
        <w:spacing w:after="60"/>
        <w:ind w:firstLine="567"/>
        <w:jc w:val="both"/>
      </w:pPr>
      <w:r>
        <w:rPr>
          <w:rFonts w:ascii="Arial" w:cs="Arial" w:eastAsia="Arial" w:hAnsi="Arial"/>
          <w:sz w:val="24"/>
          <w:szCs w:val="24"/>
        </w:rPr>
        <w:t xml:space="preserve"/>
      </w:r>
    </w:p>
    <w:p>
      <w:pPr>
        <w:spacing w:after="60"/>
        <w:ind w:firstLine="709"/>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Пример 1: ОП KG A-Ru.019.000001, где:</w:t>
      </w:r>
    </w:p>
    <w:p>
      <w:pPr>
        <w:spacing w:after="60"/>
        <w:ind w:firstLine="567"/>
        <w:jc w:val="both"/>
      </w:pPr>
      <w:r>
        <w:rPr>
          <w:rFonts w:ascii="Arial" w:cs="Arial" w:eastAsia="Arial" w:hAnsi="Arial"/>
          <w:sz w:val="24"/>
          <w:szCs w:val="24"/>
        </w:rPr>
        <w:t xml:space="preserve">ОП KG - обозначение настоящего Положения;</w:t>
      </w:r>
    </w:p>
    <w:p>
      <w:pPr>
        <w:spacing w:after="60"/>
        <w:ind w:firstLine="567"/>
        <w:jc w:val="both"/>
      </w:pPr>
      <w:r>
        <w:rPr>
          <w:rFonts w:ascii="Arial" w:cs="Arial" w:eastAsia="Arial" w:hAnsi="Arial"/>
          <w:sz w:val="24"/>
          <w:szCs w:val="24"/>
        </w:rPr>
        <w:t xml:space="preserve">А - код документа, удостоверяющего соответствие настоящему Положению (А - заключение об оценке единичного транспортного средства, Е - заключение об оценке типа транспортного средства, К - заключение об оценке типа шасси);</w:t>
      </w:r>
    </w:p>
    <w:p>
      <w:pPr>
        <w:spacing w:after="60"/>
        <w:ind w:firstLine="567"/>
        <w:jc w:val="both"/>
      </w:pPr>
      <w:r>
        <w:rPr>
          <w:rFonts w:ascii="Arial" w:cs="Arial" w:eastAsia="Arial" w:hAnsi="Arial"/>
          <w:sz w:val="24"/>
          <w:szCs w:val="24"/>
        </w:rPr>
        <w:t xml:space="preserve">Ru - код страны изготовителя сертифицируемой продукции по ИСО 3166-1:1997;</w:t>
      </w:r>
    </w:p>
    <w:p>
      <w:pPr>
        <w:spacing w:after="60"/>
        <w:ind w:firstLine="567"/>
        <w:jc w:val="both"/>
      </w:pPr>
      <w:r>
        <w:rPr>
          <w:rFonts w:ascii="Arial" w:cs="Arial" w:eastAsia="Arial" w:hAnsi="Arial"/>
          <w:sz w:val="24"/>
          <w:szCs w:val="24"/>
        </w:rPr>
        <w:t xml:space="preserve">019 - регистрационный номер регистрирующего органа;</w:t>
      </w:r>
    </w:p>
    <w:p>
      <w:pPr>
        <w:spacing w:after="60"/>
        <w:ind w:firstLine="567"/>
        <w:jc w:val="both"/>
      </w:pPr>
      <w:r>
        <w:rPr>
          <w:rFonts w:ascii="Arial" w:cs="Arial" w:eastAsia="Arial" w:hAnsi="Arial"/>
          <w:sz w:val="24"/>
          <w:szCs w:val="24"/>
        </w:rPr>
        <w:t xml:space="preserve">000001 - порядковый номер документа.</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g1jrcep_hbzxizy5hdz3">
      <w:r>
        <w:rPr>
          <w:rFonts w:ascii="Arial" w:cs="Arial" w:eastAsia="Arial" w:hAnsi="Arial"/>
          <w:color w:val="132D3F"/>
          <w:sz w:val="16"/>
          <w:szCs w:val="16"/>
          <w:u w:val="single"/>
        </w:rPr>
        <w:t xml:space="preserve">dalil.kg/document/159978</w:t>
      </w:r>
    </w:hyperlink>
  </w:p>
  <w:p>
    <w:pPr>
      <w:spacing w:after="0" w:before="40"/>
      <w:jc w:val="center"/>
    </w:pPr>
    <w:hyperlink w:history="1" r:id="rIdolxrc5uindv5mm2tke5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bogptehkd2iekttwhabt" Type="http://schemas.openxmlformats.org/officeDocument/2006/relationships/hyperlink" Target="https://dalil.kg/document/159977" TargetMode="External"/><Relationship Id="rIdqaz6h_gurabuxjynlqutd" Type="http://schemas.openxmlformats.org/officeDocument/2006/relationships/hyperlink" Target="https://dalil.kg/document/160390" TargetMode="External"/><Relationship Id="rIdlrm_sjs2ejynkbegcz3m1" Type="http://schemas.openxmlformats.org/officeDocument/2006/relationships/hyperlink" Target="https://dalil.kg/document/160390" TargetMode="External"/><Relationship Id="rIdla1znrpepv3y7mlmxraqv" Type="http://schemas.openxmlformats.org/officeDocument/2006/relationships/hyperlink" Target="https://dalil.kg/document/160390" TargetMode="External"/><Relationship Id="rIdwctp3doslb1v5xlidpulf" Type="http://schemas.openxmlformats.org/officeDocument/2006/relationships/hyperlink" Target="https://dalil.kg/document/159978#pr1" TargetMode="External"/><Relationship Id="rIdrkbm5quqpe7zldwllg8kd" Type="http://schemas.openxmlformats.org/officeDocument/2006/relationships/hyperlink" Target="https://dalil.kg/document/159978#pr2" TargetMode="External"/><Relationship Id="rIdqdh-ch3rbbzy4daoizje3" Type="http://schemas.openxmlformats.org/officeDocument/2006/relationships/hyperlink" Target="https://dalil.kg/document/159978#pr3" TargetMode="External"/><Relationship Id="rId0m6xs-rdilx9h9lpwar7z" Type="http://schemas.openxmlformats.org/officeDocument/2006/relationships/hyperlink" Target="https://dalil.kg/document/159978#pr4" TargetMode="External"/><Relationship Id="rIdxnmdqb8requ-vbtnusvif" Type="http://schemas.openxmlformats.org/officeDocument/2006/relationships/hyperlink" Target="https://dalil.kg/document/159978" TargetMode="External"/><Relationship Id="rId6m0fahmig3knkyep9g_-p" Type="http://schemas.openxmlformats.org/officeDocument/2006/relationships/hyperlink" Target="https://dalil.kg/document/160390" TargetMode="External"/><Relationship Id="rIddbff-z40kvrthdophbzdw" Type="http://schemas.openxmlformats.org/officeDocument/2006/relationships/hyperlink" Target="https://dalil.kg/document/160390" TargetMode="External"/><Relationship Id="rIduez448rgvfj5totngyjjz" Type="http://schemas.openxmlformats.org/officeDocument/2006/relationships/hyperlink" Target="https://dalil.kg/document/159978#pr2" TargetMode="External"/><Relationship Id="rId6muaxhpdkepvk4_6wiaur" Type="http://schemas.openxmlformats.org/officeDocument/2006/relationships/hyperlink" Target="https://dalil.kg/document/159978#pr3" TargetMode="External"/><Relationship Id="rIdcz9wmu7qqe0jehcmpnerz" Type="http://schemas.openxmlformats.org/officeDocument/2006/relationships/hyperlink" Target="https://dalil.kg/document/159978" TargetMode="External"/><Relationship Id="rId6tkosbim8pranrciuzmgz" Type="http://schemas.openxmlformats.org/officeDocument/2006/relationships/hyperlink" Target="https://dalil.kg/document/160390" TargetMode="External"/><Relationship Id="rIdkqj-xbpyifrhkbab4f7ml" Type="http://schemas.openxmlformats.org/officeDocument/2006/relationships/hyperlink" Target="https://dalil.kg/document/159978#pr4" TargetMode="External"/><Relationship Id="rIdneenoibng6twha5vhixro" Type="http://schemas.openxmlformats.org/officeDocument/2006/relationships/hyperlink" Target="https://dalil.kg/document/159978#pr5" TargetMode="External"/><Relationship Id="rIdop0lokjiiob0pkeurz9zc" Type="http://schemas.openxmlformats.org/officeDocument/2006/relationships/hyperlink" Target="https://dalil.kg/document/160390"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g1jrcep_hbzxizy5hdz3" Type="http://schemas.openxmlformats.org/officeDocument/2006/relationships/hyperlink" Target="https://dalil.kg/document/159978" TargetMode="External"/><Relationship Id="rIdolxrc5uindv5mm2tke5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2026-09-24T19:30:48.341Z</dcterms:created>
  <dcterms:modified xsi:type="dcterms:W3CDTF">2026-09-24T19:30:48.341Z</dcterms:modified>
</cp:coreProperties>
</file>

<file path=docProps/custom.xml><?xml version="1.0" encoding="utf-8"?>
<Properties xmlns="http://schemas.openxmlformats.org/officeDocument/2006/custom-properties" xmlns:vt="http://schemas.openxmlformats.org/officeDocument/2006/docPropsVTypes"/>
</file>