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Порядок</w:t>
      </w:r>
      <w:r>
        <w:rPr>
          <w:rFonts w:ascii="Arial" w:cs="Arial" w:eastAsia="Arial" w:hAnsi="Arial"/>
          <w:b/>
          <w:bCs/>
          <w:sz w:val="32"/>
          <w:szCs w:val="32"/>
        </w:rPr>
        <w:t xml:space="preserve">
 определения и применения минимального уровня контрольных цен</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l3cnjoiv_2nb5iroaqozv">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1. Настоящий Порядок регламентирует определение и применение минимального уровня контрольных цен (далее - МУКЦ) на товары, импортируемые на территорию Кыргызской Республики из государств-членов Евразийского экономического союза (далее - ЕАЭС) и произведенные территории Кыргызской Республики.</w:t>
      </w:r>
    </w:p>
    <w:p>
      <w:pPr>
        <w:spacing w:after="120"/>
        <w:jc w:val="both"/>
      </w:pPr>
      <w:r>
        <w:rPr>
          <w:rFonts w:ascii="Arial" w:cs="Arial" w:eastAsia="Arial" w:hAnsi="Arial"/>
          <w:sz w:val="24"/>
          <w:szCs w:val="24"/>
        </w:rPr>
        <w:t xml:space="preserve">2. Настоящий Порядок разработан в соответствии с пунктом 18 Протокола о порядке взимания косвенных налогов и механизме контроля за их уплатой при экспорте и импорте товаров, выполнении работ, оказании услуг, где в целях обеспечения полноты уплаты косвенных налогов предусмотрена возможность применения законодательства государства-члена ЕАЭС и имеется возможность регулировать принципы определения цены в целях налогообложения.</w:t>
      </w:r>
    </w:p>
    <w:p>
      <w:pPr>
        <w:spacing w:after="120"/>
        <w:jc w:val="both"/>
      </w:pPr>
      <w:r>
        <w:rPr>
          <w:rFonts w:ascii="Arial" w:cs="Arial" w:eastAsia="Arial" w:hAnsi="Arial"/>
          <w:sz w:val="24"/>
          <w:szCs w:val="24"/>
        </w:rPr>
        <w:t xml:space="preserve">3. В настоящем Порядке используются следующие термины и определения: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импортер </w:t>
      </w:r>
      <w:r>
        <w:rPr>
          <w:rFonts w:ascii="Arial" w:cs="Arial" w:eastAsia="Arial" w:hAnsi="Arial"/>
          <w:sz w:val="24"/>
          <w:szCs w:val="24"/>
        </w:rPr>
        <w:t xml:space="preserve">- налогоплательщик, импортирующий товары на территорию Кыргызской Республики из государств-членов ЕАЭС;</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производитель</w:t>
      </w:r>
      <w:r>
        <w:rPr>
          <w:rFonts w:ascii="Arial" w:cs="Arial" w:eastAsia="Arial" w:hAnsi="Arial"/>
          <w:sz w:val="24"/>
          <w:szCs w:val="24"/>
        </w:rPr>
        <w:t xml:space="preserve"> - налогоплательщик, осуществляющий производство товара, для которого устанавливается минимальный уровень контрольных иен;</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МУКЦ </w:t>
      </w:r>
      <w:r>
        <w:rPr>
          <w:rFonts w:ascii="Arial" w:cs="Arial" w:eastAsia="Arial" w:hAnsi="Arial"/>
          <w:sz w:val="24"/>
          <w:szCs w:val="24"/>
        </w:rPr>
        <w:t xml:space="preserve">- цена товаров, импортируемых на территорию Кыргызской Республики и произведенных на территории Кыргызской Республики, устанавливаемая в случаях и порядке, определяемых настоящим Порядком;</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заявление (FORM STI-136)</w:t>
      </w:r>
      <w:r>
        <w:rPr>
          <w:rFonts w:ascii="Arial" w:cs="Arial" w:eastAsia="Arial" w:hAnsi="Arial"/>
          <w:sz w:val="24"/>
          <w:szCs w:val="24"/>
        </w:rPr>
        <w:t xml:space="preserve"> - заявление о ввозе товаров и уплате косвенных налогов (FORM STI-136);</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налог на добавленную стоимость ЕАЭС</w:t>
      </w:r>
      <w:r>
        <w:rPr>
          <w:rFonts w:ascii="Arial" w:cs="Arial" w:eastAsia="Arial" w:hAnsi="Arial"/>
          <w:sz w:val="24"/>
          <w:szCs w:val="24"/>
        </w:rPr>
        <w:t xml:space="preserve"> - налог на добавленную стоимость (далее - НДС) на товары, ввозимые на территорию Кыргызской Республики из государств-членов ЕАЭС;</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официальный представитель (дистрибьютор, дилер)</w:t>
      </w:r>
      <w:r>
        <w:rPr>
          <w:rFonts w:ascii="Arial" w:cs="Arial" w:eastAsia="Arial" w:hAnsi="Arial"/>
          <w:sz w:val="24"/>
          <w:szCs w:val="24"/>
        </w:rPr>
        <w:t xml:space="preserve"> - торговая организация, имеющая дистрибьюторское или дилерское соглашение (контракт или протокол намерений) с заводом-изготовителем или его торговым домом, подтверждающее статус дистрибьютора или дилера.</w:t>
      </w:r>
    </w:p>
    <w:p>
      <w:pPr>
        <w:spacing w:after="120"/>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62enrea-rfbspund_iiu5">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Термины и определения, используемые в настоящем Порядке, трактуются в значении, определенном настоящим Порядком и Налоговым </w:t>
      </w:r>
      <w:hyperlink w:history="1" r:id="rIdkvcjxxleidjaqh0forqn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5. Размер МУКЦ устанавливается приказом уполномоченного налогового органа на товары, импортируемые на территорию Кыргызской Республики из государств-членов ЕАЭС и произведенные на территории Кыргызской Республики, согласно перечню, определяемому уполномоченным налоговым органом.</w:t>
      </w:r>
    </w:p>
    <w:p>
      <w:pPr>
        <w:spacing w:after="120"/>
        <w:jc w:val="both"/>
      </w:pPr>
      <w:r>
        <w:rPr>
          <w:rFonts w:ascii="Arial" w:cs="Arial" w:eastAsia="Arial" w:hAnsi="Arial"/>
          <w:sz w:val="24"/>
          <w:szCs w:val="24"/>
        </w:rPr>
        <w:t xml:space="preserve">6. Перечень товаров, на которые установлен МУКЦ (далее - Перечень), подлежит опубликованию на официальном сайте уполномоченного налогового органа по форме согласно </w:t>
      </w:r>
      <w:hyperlink w:history="1" r:id="rIdnghlnqdravbjxnsppqsnm">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7. Размер МУКЦ устанавливается на товар, имеющий 10-значный цифровой код товарной номенклатуры внешнеэкономической деятельности (далее - ТН ВЭД ЕАЭС).</w:t>
      </w:r>
    </w:p>
    <w:p>
      <w:pPr>
        <w:spacing w:after="120"/>
        <w:jc w:val="both"/>
      </w:pPr>
      <w:r>
        <w:rPr>
          <w:rFonts w:ascii="Arial" w:cs="Arial" w:eastAsia="Arial" w:hAnsi="Arial"/>
          <w:sz w:val="24"/>
          <w:szCs w:val="24"/>
        </w:rPr>
        <w:t xml:space="preserve">8. Курс валюты государства-члена ЕАЭС, используемый при расчетах за ввезенный товар, исчисляется по курсу Национального банка Кыргызской Республики на дату принятия налогоплательщиком на учет импортированных товаров согласно Налоговому </w:t>
      </w:r>
      <w:hyperlink w:history="1" r:id="rId2bqixr-3hr3u6tofhan_k">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w:t>
      </w:r>
    </w:p>
    <w:p>
      <w:pPr>
        <w:spacing w:after="120"/>
        <w:jc w:val="center"/>
      </w:pPr>
      <w:r>
        <w:rPr>
          <w:rFonts w:ascii="Arial" w:cs="Arial" w:eastAsia="Arial" w:hAnsi="Arial"/>
          <w:b/>
          <w:bCs/>
          <w:sz w:val="24"/>
          <w:szCs w:val="24"/>
        </w:rPr>
        <w:t xml:space="preserve">2. Определение МУКЦ на товары, импортируемые на территорию Кыргызской Республики из государств-членов ЕАЭС и произведенные на территории Кыргызской Республики</w:t>
      </w:r>
    </w:p>
    <w:p>
      <w:pPr>
        <w:spacing w:after="120"/>
        <w:jc w:val="both"/>
      </w:pPr>
      <w:r>
        <w:rPr>
          <w:rFonts w:ascii="Arial" w:cs="Arial" w:eastAsia="Arial" w:hAnsi="Arial"/>
          <w:sz w:val="24"/>
          <w:szCs w:val="24"/>
        </w:rPr>
        <w:t xml:space="preserve">9. Размер МУКЦ устанавливается ежеквартально на товары, импортированные на территорию Кыргызской Республики из государств-членов ЕАЭС и произведенные на территории Кыргызской Республики согласно коду ТН ВЭД ЕАЭС.</w:t>
      </w:r>
    </w:p>
    <w:p>
      <w:pPr>
        <w:spacing w:after="120"/>
        <w:jc w:val="both"/>
      </w:pPr>
      <w:r>
        <w:rPr>
          <w:rFonts w:ascii="Arial" w:cs="Arial" w:eastAsia="Arial" w:hAnsi="Arial"/>
          <w:sz w:val="24"/>
          <w:szCs w:val="24"/>
        </w:rPr>
        <w:t xml:space="preserve">Если размер МУКЦ на следующий период не установлен в порядке, установленном настоящим Порядком, применяется размер МУКЦ, установленный за прошедший период.</w:t>
      </w:r>
    </w:p>
    <w:p>
      <w:pPr>
        <w:spacing w:after="120"/>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thsjcsrqkswlsxt06v_fm">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 Уполномоченный налоговый орган на основании данных заявлений (FORM STI-136), представленных налогоплательщиками за последние (отчетные) шестьдесят дней, а также данных электронных счетов-фактур, оформленных налогоплательщиками за последние (отчетные) шестьдесят дней, ежеквартально, путем выборки кодов ТН ВЭД ЕАЭС определяет среднюю цену на товары, импортируемые из государств-членов ЕАЭС и произведенные на территории Кыргызской Республики.</w:t>
      </w:r>
    </w:p>
    <w:p>
      <w:pPr>
        <w:spacing w:after="120"/>
        <w:jc w:val="both"/>
      </w:pPr>
      <w:r>
        <w:rPr>
          <w:rFonts w:ascii="Arial" w:cs="Arial" w:eastAsia="Arial" w:hAnsi="Arial"/>
          <w:sz w:val="24"/>
          <w:szCs w:val="24"/>
        </w:rPr>
        <w:t xml:space="preserve">11. При определении МУКЦ учитывается средняя цена на определенную товарную позицию, определенная в соответствии с пунктом 11 настоящего Порядка, за вычетом 30 процентов от средней цены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МУКЦ = Сц - (Сц * 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Сц - средняя цена товаров, импортированных из государств-членов ЕАЭС и/или произведенных на территории Кыргызской Республики.</w:t>
      </w:r>
    </w:p>
    <w:p>
      <w:pPr>
        <w:spacing w:after="120"/>
        <w:jc w:val="both"/>
      </w:pPr>
      <w:r>
        <w:rPr>
          <w:rFonts w:ascii="Arial" w:cs="Arial" w:eastAsia="Arial" w:hAnsi="Arial"/>
          <w:sz w:val="24"/>
          <w:szCs w:val="24"/>
        </w:rPr>
        <w:t xml:space="preserve">12. В случае отсутствия производства в Кыргызской Республике определенной товарной позиции с соответствующим кодом ТН ВЭД ЕАЭС и его цены для определения МУКЦ, учитывается средняя цена товарной продукции, импортируемой в Кыргызскую Республику с соответствующим кодом ТН ВЭД ЕАЭС.</w:t>
      </w:r>
    </w:p>
    <w:p>
      <w:pPr>
        <w:spacing w:after="120"/>
        <w:jc w:val="both"/>
      </w:pPr>
      <w:r>
        <w:rPr>
          <w:rFonts w:ascii="Arial" w:cs="Arial" w:eastAsia="Arial" w:hAnsi="Arial"/>
          <w:sz w:val="24"/>
          <w:szCs w:val="24"/>
        </w:rPr>
        <w:t xml:space="preserve">13. При отсутствии импорта в Кыргызскую Республику определенной товарной позиции с соответствующим кодом ТН ВЭД ЕАЭС и его цены для определения МУКЦ, учитывается средняя цена производимой в Кыргызской Республике товарной продукции с соответствующим кодом ТН ВЭД ЕАЭС.</w:t>
      </w:r>
    </w:p>
    <w:p>
      <w:pPr>
        <w:spacing w:after="120"/>
        <w:jc w:val="both"/>
      </w:pPr>
      <w:r>
        <w:rPr>
          <w:rFonts w:ascii="Arial" w:cs="Arial" w:eastAsia="Arial" w:hAnsi="Arial"/>
          <w:sz w:val="24"/>
          <w:szCs w:val="24"/>
        </w:rPr>
        <w:t xml:space="preserve">14. В случае отсутствия информации об определенной товарной позиции в автоматизированной информационной системе "Электронный счет-фактура" и заявления (FORM STI-136), МУКЦ определяется на основании информации из других источников и/или мониторинга рынка.</w:t>
      </w:r>
    </w:p>
    <w:p>
      <w:pPr>
        <w:spacing w:after="120"/>
        <w:jc w:val="both"/>
      </w:pPr>
      <w:r>
        <w:rPr>
          <w:rFonts w:ascii="Arial" w:cs="Arial" w:eastAsia="Arial" w:hAnsi="Arial"/>
          <w:sz w:val="24"/>
          <w:szCs w:val="24"/>
        </w:rPr>
        <w:t xml:space="preserve">14</w:t>
      </w:r>
      <w:r>
        <w:rPr>
          <w:rFonts w:ascii="Arial" w:cs="Arial" w:eastAsia="Arial" w:hAnsi="Arial"/>
          <w:sz w:val="24"/>
          <w:szCs w:val="24"/>
        </w:rPr>
        <w:t xml:space="preserve">1</w:t>
      </w:r>
      <w:r>
        <w:rPr>
          <w:rFonts w:ascii="Arial" w:cs="Arial" w:eastAsia="Arial" w:hAnsi="Arial"/>
          <w:sz w:val="24"/>
          <w:szCs w:val="24"/>
        </w:rPr>
        <w:t xml:space="preserve">. В случае отсутствия товаров в Перечне налогоплательщики и/или государственные органы Кыргызской Республики имеют право обратиться в уполномоченный налоговый орган с заявлением о включении в Перечень отсутствующих товаров.</w:t>
      </w:r>
    </w:p>
    <w:p>
      <w:pPr>
        <w:spacing w:after="120"/>
        <w:jc w:val="both"/>
      </w:pPr>
      <w:r>
        <w:rPr>
          <w:rFonts w:ascii="Arial" w:cs="Arial" w:eastAsia="Arial" w:hAnsi="Arial"/>
          <w:sz w:val="24"/>
          <w:szCs w:val="24"/>
        </w:rPr>
        <w:t xml:space="preserve">В заявлении отражается следующая информация:</w:t>
      </w:r>
    </w:p>
    <w:p>
      <w:pPr>
        <w:spacing w:after="120"/>
        <w:jc w:val="both"/>
      </w:pPr>
      <w:r>
        <w:rPr>
          <w:rFonts w:ascii="Arial" w:cs="Arial" w:eastAsia="Arial" w:hAnsi="Arial"/>
          <w:sz w:val="24"/>
          <w:szCs w:val="24"/>
        </w:rPr>
        <w:t xml:space="preserve">- наименование товара, для которого необходимо установить минимальный уровень контрольной цены, с указанием кода ТН ВЭД ЕАЭС, единицы измерения и, при необходимости, дополнительные характеристики товара;</w:t>
      </w:r>
    </w:p>
    <w:p>
      <w:pPr>
        <w:spacing w:after="120"/>
        <w:jc w:val="both"/>
      </w:pPr>
      <w:r>
        <w:rPr>
          <w:rFonts w:ascii="Arial" w:cs="Arial" w:eastAsia="Arial" w:hAnsi="Arial"/>
          <w:sz w:val="24"/>
          <w:szCs w:val="24"/>
        </w:rPr>
        <w:t xml:space="preserve">- действующие средние оптовые и розничные цены на товар, реализуемый на территории Кыргызской Республики;</w:t>
      </w:r>
    </w:p>
    <w:p>
      <w:pPr>
        <w:spacing w:after="120"/>
        <w:jc w:val="both"/>
      </w:pPr>
      <w:r>
        <w:rPr>
          <w:rFonts w:ascii="Arial" w:cs="Arial" w:eastAsia="Arial" w:hAnsi="Arial"/>
          <w:sz w:val="24"/>
          <w:szCs w:val="24"/>
        </w:rPr>
        <w:t xml:space="preserve">- предлагаемый размер минимального уровня контрольной цены с обоснованием необходимости применения минимального уровня контрольной цены и включения в Перечень.</w:t>
      </w:r>
    </w:p>
    <w:p>
      <w:pPr>
        <w:spacing w:after="120"/>
        <w:jc w:val="both"/>
      </w:pPr>
      <w:r>
        <w:rPr>
          <w:rFonts w:ascii="Arial" w:cs="Arial" w:eastAsia="Arial" w:hAnsi="Arial"/>
          <w:sz w:val="24"/>
          <w:szCs w:val="24"/>
        </w:rPr>
        <w:t xml:space="preserve">Уполномоченный налоговый орган отказывает в принятии заявления в случае отсутствия в заявлении информации, указанной в настоящем пункте.";</w:t>
      </w:r>
    </w:p>
    <w:p>
      <w:pPr>
        <w:spacing w:after="120"/>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okcvzhpcms_exkpm_mbbp">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 В случае заниженных цен импортируемой товарной позиции более чем в 2 раза в сравнении с той же товарной позицией, произведенной в Кыргызской Республике, выявленных в ходе мониторинга рынка или других источников информации, МУКЦ определятся на основании данных из других источников и/или мониторинга цен рынка.</w:t>
      </w:r>
    </w:p>
    <w:p>
      <w:pPr>
        <w:spacing w:after="120"/>
        <w:jc w:val="both"/>
      </w:pPr>
      <w:r>
        <w:rPr>
          <w:rFonts w:ascii="Arial" w:cs="Arial" w:eastAsia="Arial" w:hAnsi="Arial"/>
          <w:sz w:val="24"/>
          <w:szCs w:val="24"/>
        </w:rPr>
        <w:t xml:space="preserve">16. Размер МУКЦ устанавливается в национальной валюте с учетом правил математического округления (значения показателей менее 50 тыйынов округляются в меньшую сторону, 50 тыйынов и более - округляются до сома).</w:t>
      </w:r>
    </w:p>
    <w:p>
      <w:pPr>
        <w:spacing w:after="120"/>
        <w:jc w:val="both"/>
      </w:pPr>
      <w:r>
        <w:rPr>
          <w:rFonts w:ascii="Arial" w:cs="Arial" w:eastAsia="Arial" w:hAnsi="Arial"/>
          <w:sz w:val="24"/>
          <w:szCs w:val="24"/>
        </w:rPr>
        <w:t xml:space="preserve">17. В случае, если импортер осуществляет ввоз товара, включенного в Перечень, и указывает в договоре и в товаросопроводительных документах цену товара меньше установленного размера МУКЦ, налоговое обязательство по НДС ЕАЭС исчисляется с применением установленного МУКЦ и отражением его в налоговой отчетности по НДС.</w:t>
      </w:r>
    </w:p>
    <w:p>
      <w:pPr>
        <w:spacing w:after="120"/>
        <w:jc w:val="both"/>
      </w:pPr>
      <w:r>
        <w:rPr>
          <w:rFonts w:ascii="Arial" w:cs="Arial" w:eastAsia="Arial" w:hAnsi="Arial"/>
          <w:sz w:val="24"/>
          <w:szCs w:val="24"/>
        </w:rPr>
        <w:t xml:space="preserve">Например. Налогоплательщик осуществил ввоз "условного товара" с территории государства-члена ЕАЭС в количестве 10000 кг. В договоре (контракте) и товаросопроводительных документах цена за 1 кг указана в размере 20 российских рублей за 1 кг. Наиболее поздней датой принятия на учет импортированных товаров явилась дата пересечения Государственной границы Кыргызской Республики. Курс Национального банка Кыргызской Республики на дату пересечения Государственной границы Кыргызской Республики составил 1,06 сома за 1 российский рубль. При переводе в национальную валюту стоимость 1 кг - 21,2 сома за кг (20 * 1,06). Согласно Перечню, МУКЦ на "условный товар" составляет 23,5 сома за 1 кг. В данном случае, МУКЦ подлежит применению к ввезенному товару и отражению в налоговой отчетности по НДС.</w:t>
      </w:r>
    </w:p>
    <w:p>
      <w:pPr>
        <w:spacing w:after="120"/>
        <w:jc w:val="both"/>
      </w:pPr>
      <w:r>
        <w:rPr>
          <w:rFonts w:ascii="Arial" w:cs="Arial" w:eastAsia="Arial" w:hAnsi="Arial"/>
          <w:sz w:val="24"/>
          <w:szCs w:val="24"/>
        </w:rPr>
        <w:t xml:space="preserve">18. В случае, если импортер осуществляет ввоз товара, включенного в Перечень, и указывает в договоре и в товаросопроводительных документах цену товара больше установленного размера МУКЦ, налоговое обязательство по НДС ЕАЭС исчисляется исходя из цены, указанной в договоре и товаросопроводительных документах, без применения МУКЦ.</w:t>
      </w:r>
    </w:p>
    <w:p>
      <w:pPr>
        <w:spacing w:after="120"/>
        <w:jc w:val="both"/>
      </w:pPr>
      <w:r>
        <w:rPr>
          <w:rFonts w:ascii="Arial" w:cs="Arial" w:eastAsia="Arial" w:hAnsi="Arial"/>
          <w:sz w:val="24"/>
          <w:szCs w:val="24"/>
        </w:rPr>
        <w:t xml:space="preserve">19. В случае, если импортер представит документ, подтверждающий его статус официального представителя (дистрибьютора или дилера), налоговое обязательство по НДС ЕАЭС исчисляется исходя из цены, указанной в договоре и товаросопроводительных документах, без применения МУКЦ.</w:t>
      </w:r>
    </w:p>
    <w:p>
      <w:pPr>
        <w:spacing w:after="120"/>
        <w:jc w:val="both"/>
      </w:pPr>
      <w:r>
        <w:rPr>
          <w:rFonts w:ascii="Arial" w:cs="Arial" w:eastAsia="Arial" w:hAnsi="Arial"/>
          <w:sz w:val="24"/>
          <w:szCs w:val="24"/>
        </w:rPr>
        <w:t xml:space="preserve">20. При выявлении фактов ввоза товаров на территорию Кыргызской Республики без наличия соответствующих товаросопроводительных документов, НДС ЕАЭС подлежит начислению налоговым органом с применением МУКЦ.</w:t>
      </w:r>
    </w:p>
    <w:p>
      <w:pPr>
        <w:spacing w:after="120"/>
        <w:jc w:val="both"/>
      </w:pPr>
      <w:r>
        <w:rPr>
          <w:rFonts w:ascii="Arial" w:cs="Arial" w:eastAsia="Arial" w:hAnsi="Arial"/>
          <w:sz w:val="24"/>
          <w:szCs w:val="24"/>
        </w:rPr>
        <w:t xml:space="preserve">21. При выявлении фактов непредставления импортером соответствующего отчета по НДС ЕАЭС при ввозе товаров в нарушение установленных требований в настоящем Порядке, НДС ЕАЭС подлежит начислению в установленном Налоговом </w:t>
      </w:r>
      <w:hyperlink w:history="1" r:id="rIdu2bn5wjrovogjmav6zznr">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порядке, и налогоплательщик несет ответственность в соответствии с законодательством Кыргызской Республики о правонарушениях.</w:t>
      </w:r>
    </w:p>
    <w:p>
      <w:pPr>
        <w:spacing w:after="120"/>
        <w:jc w:val="both"/>
      </w:pPr>
      <w:r>
        <w:rPr>
          <w:rFonts w:ascii="Arial" w:cs="Arial" w:eastAsia="Arial" w:hAnsi="Arial"/>
          <w:sz w:val="24"/>
          <w:szCs w:val="24"/>
        </w:rPr>
        <w:t xml:space="preserve">22. В случае, если производитель осуществляет облагаемую поставку товара, включенного в Перечень, и указывает в договоре и в счете-фактуре цену товара меньше установленного размера МУКЦ, налоговое обязательство по НДС исчисляется с применением установленного МУКЦ и отражением его в налоговой отчетности по НДС.</w:t>
      </w:r>
    </w:p>
    <w:p>
      <w:pPr>
        <w:spacing w:after="120"/>
        <w:jc w:val="both"/>
      </w:pPr>
      <w:r>
        <w:rPr>
          <w:rFonts w:ascii="Arial" w:cs="Arial" w:eastAsia="Arial" w:hAnsi="Arial"/>
          <w:sz w:val="24"/>
          <w:szCs w:val="24"/>
        </w:rPr>
        <w:t xml:space="preserve">23. В случае, если производитель осуществляет облагаемую поставку товара, включенного в Перечень, и указывает в договоре и в счете-фактуре цену товара больше установленного размера МУКЦ, налоговое обязательство по НДС исчисляется исходя из цены, указанной в договоре и в счете-фактуре, без применения МУКЦ.</w:t>
      </w:r>
    </w:p>
    <w:p>
      <w:pPr>
        <w:spacing w:after="120"/>
        <w:jc w:val="both"/>
      </w:pPr>
      <w:r>
        <w:rPr>
          <w:rFonts w:ascii="Arial" w:cs="Arial" w:eastAsia="Arial" w:hAnsi="Arial"/>
          <w:sz w:val="24"/>
          <w:szCs w:val="24"/>
        </w:rPr>
        <w:t xml:space="preserve">24. В случае, если производитель осуществляет облагаемую поставку товара, включенного в Перечень, и указывает в договоре и в счете-фактуре цену товара меньше установленного размера МУКЦ, налоговое обязательство по НДС исчисляется без применения установленного МУКЦ, если цены производителя установлены государством или согласованы с антимонопольным органом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25. При выявлении фактов облагаемой поставки товаров без наличия соответствующих товаросопроводительных документов, НДС подлежит начислению налоговым органом с применением МУКЦ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26. Импортеры/производители товаров вправе предоставить в налоговый орган документы, подтверждающие обоснованность цены товаров, примененной сторонами сделки.</w:t>
      </w:r>
    </w:p>
    <w:p>
      <w:pPr>
        <w:spacing w:after="120"/>
        <w:jc w:val="both"/>
      </w:pPr>
      <w:r>
        <w:rPr>
          <w:rFonts w:ascii="Arial" w:cs="Arial" w:eastAsia="Arial" w:hAnsi="Arial"/>
          <w:sz w:val="24"/>
          <w:szCs w:val="24"/>
        </w:rPr>
        <w:t xml:space="preserve">Налоговый орган рассматривает такие документы с учетом частей 5-7 </w:t>
      </w:r>
      <w:hyperlink w:history="1" r:id="rIdvgfrvwkea8_6gliv8ndmn">
        <w:r>
          <w:rPr>
            <w:rFonts w:ascii="Arial" w:cs="Arial" w:eastAsia="Arial" w:hAnsi="Arial"/>
            <w:color w:val="1D4ED8"/>
            <w:sz w:val="24"/>
            <w:szCs w:val="24"/>
            <w:u w:val="single"/>
          </w:rPr>
          <w:t xml:space="preserve">статьи 139</w:t>
        </w:r>
      </w:hyperlink>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sz w:val="24"/>
          <w:szCs w:val="24"/>
        </w:rPr>
        <w:t xml:space="preserve">В случае, если по итогам рассмотрения налоговым органом предоставленных подтверждающих документов цена товаров, примененная сторонами сделки, признана обоснованной, налоговое обязательство по НДС исчисляется исходя из цены, указанной в договоре и товаросопроводительных документах, без применения МУКЦ.</w:t>
      </w:r>
    </w:p>
    <w:p>
      <w:pPr>
        <w:spacing w:after="120"/>
        <w:jc w:val="both"/>
      </w:pPr>
      <w:r>
        <w:rPr>
          <w:rFonts w:ascii="Arial" w:cs="Arial" w:eastAsia="Arial" w:hAnsi="Arial"/>
          <w:sz w:val="24"/>
          <w:szCs w:val="24"/>
        </w:rPr>
        <w:t xml:space="preserve">В случае, если по итогам рассмотрения налоговым органом предоставленных подтверждающих документов цена товаров, примененная сторонами сделки, признана необоснованной, НДС подлежит начислению налоговым органом с применением МУКЦ.</w:t>
      </w:r>
    </w:p>
    <w:p>
      <w:pPr>
        <w:spacing w:after="120"/>
        <w:jc w:val="both"/>
      </w:pPr>
      <w:r>
        <w:rPr>
          <w:rFonts w:ascii="Arial" w:cs="Arial" w:eastAsia="Arial" w:hAnsi="Arial"/>
          <w:sz w:val="24"/>
          <w:szCs w:val="24"/>
        </w:rPr>
        <w:t xml:space="preserve">27. К документам, указанным в пункте 26 настоящего Порядка, относятся:</w:t>
      </w:r>
    </w:p>
    <w:p>
      <w:pPr>
        <w:spacing w:after="120"/>
        <w:jc w:val="both"/>
      </w:pPr>
      <w:r>
        <w:rPr>
          <w:rFonts w:ascii="Arial" w:cs="Arial" w:eastAsia="Arial" w:hAnsi="Arial"/>
          <w:sz w:val="24"/>
          <w:szCs w:val="24"/>
        </w:rPr>
        <w:t xml:space="preserve">- договор/контракт на поставку материальных ресурсов и товаров с обязательным отражением применяемых цен;</w:t>
      </w:r>
    </w:p>
    <w:p>
      <w:pPr>
        <w:spacing w:after="120"/>
        <w:jc w:val="both"/>
      </w:pPr>
      <w:r>
        <w:rPr>
          <w:rFonts w:ascii="Arial" w:cs="Arial" w:eastAsia="Arial" w:hAnsi="Arial"/>
          <w:sz w:val="24"/>
          <w:szCs w:val="24"/>
        </w:rPr>
        <w:t xml:space="preserve">- инвойс/счет-фактура (в виде бумажного или электронного документа);</w:t>
      </w:r>
    </w:p>
    <w:p>
      <w:pPr>
        <w:spacing w:after="120"/>
        <w:jc w:val="both"/>
      </w:pPr>
      <w:r>
        <w:rPr>
          <w:rFonts w:ascii="Arial" w:cs="Arial" w:eastAsia="Arial" w:hAnsi="Arial"/>
          <w:sz w:val="24"/>
          <w:szCs w:val="24"/>
        </w:rPr>
        <w:t xml:space="preserve">- товарно-транспортная накладная (в виде бумажного или электронного документа);</w:t>
      </w:r>
    </w:p>
    <w:p>
      <w:pPr>
        <w:spacing w:after="120"/>
        <w:jc w:val="both"/>
      </w:pPr>
      <w:r>
        <w:rPr>
          <w:rFonts w:ascii="Arial" w:cs="Arial" w:eastAsia="Arial" w:hAnsi="Arial"/>
          <w:sz w:val="24"/>
          <w:szCs w:val="24"/>
        </w:rPr>
        <w:t xml:space="preserve">- платежный документ, подтверждающий оплату за ввозимые товарно-материальные ценности (далее - ТМЦ), или соответствующий документ поставщика, свидетельствующий об отгрузке ТМЦ без оплаты с указанием причин неуплаты;</w:t>
      </w:r>
    </w:p>
    <w:p>
      <w:pPr>
        <w:spacing w:after="120"/>
        <w:jc w:val="both"/>
      </w:pPr>
      <w:r>
        <w:rPr>
          <w:rFonts w:ascii="Arial" w:cs="Arial" w:eastAsia="Arial" w:hAnsi="Arial"/>
          <w:sz w:val="24"/>
          <w:szCs w:val="24"/>
        </w:rPr>
        <w:t xml:space="preserve">- документ, в котором указан код ТН ВЭД, такие как сертификат соответствия техническому регламенту ЕАЭС или ветеринарный и фитосанитарный сертификат или декларация о соответствии стандартам согласно требованиям законодательства Кыргызской Республики и права ЕАЭС.".</w:t>
      </w:r>
    </w:p>
    <w:p>
      <w:pPr>
        <w:spacing w:after="120"/>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mceouyf2xzw9ynrrqpazv">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Порядку определения и применения 
 минимального уровня контрольных цен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ПЕРЕЧЕНЬ
 товаров, на которые установлен минимальный уровень контрольных цен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8"/>
        <w:gridCol w:w="3760"/>
        <w:gridCol w:w="3204"/>
        <w:gridCol w:w="2516"/>
      </w:tblGrid>
      <w:tr>
        <w:tc>
          <w:tcPr>
            <w:tcW w:type="dxa" w:w="6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7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32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 ЕАЭС</w:t>
            </w:r>
          </w:p>
        </w:tc>
        <w:tc>
          <w:tcPr>
            <w:tcW w:type="dxa" w:w="25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МУКЦ</w:t>
            </w:r>
          </w:p>
        </w:tc>
      </w:tr>
      <w:tr>
        <w:tc>
          <w:tcPr>
            <w:tcW w:type="dxa" w:w="6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eirdwh-9cmio27mydtfl">
      <w:r>
        <w:rPr>
          <w:rFonts w:ascii="Arial" w:cs="Arial" w:eastAsia="Arial" w:hAnsi="Arial"/>
          <w:color w:val="132D3F"/>
          <w:sz w:val="16"/>
          <w:szCs w:val="16"/>
          <w:u w:val="single"/>
        </w:rPr>
        <w:t xml:space="preserve">dalil.kg/document/160019</w:t>
      </w:r>
    </w:hyperlink>
  </w:p>
  <w:p>
    <w:pPr>
      <w:spacing w:after="0" w:before="40"/>
      <w:jc w:val="center"/>
    </w:pPr>
    <w:hyperlink w:history="1" r:id="rIdqc42yy4y_tljapzasgqo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3cnjoiv_2nb5iroaqozv" Type="http://schemas.openxmlformats.org/officeDocument/2006/relationships/hyperlink" Target="https://dalil.kg/document/160018" TargetMode="External"/><Relationship Id="rId62enrea-rfbspund_iiu5" Type="http://schemas.openxmlformats.org/officeDocument/2006/relationships/hyperlink" Target="https://dalil.kg/document/160018" TargetMode="External"/><Relationship Id="rIdkvcjxxleidjaqh0forqnn" Type="http://schemas.openxmlformats.org/officeDocument/2006/relationships/hyperlink" Target="https://dalil.kg/document/112340" TargetMode="External"/><Relationship Id="rIdnghlnqdravbjxnsppqsnm" Type="http://schemas.openxmlformats.org/officeDocument/2006/relationships/hyperlink" Target="https://dalil.kg/document/158955#pr1" TargetMode="External"/><Relationship Id="rId2bqixr-3hr3u6tofhan_k" Type="http://schemas.openxmlformats.org/officeDocument/2006/relationships/hyperlink" Target="https://dalil.kg/document/112340" TargetMode="External"/><Relationship Id="rIdthsjcsrqkswlsxt06v_fm" Type="http://schemas.openxmlformats.org/officeDocument/2006/relationships/hyperlink" Target="https://dalil.kg/document/160018" TargetMode="External"/><Relationship Id="rIdokcvzhpcms_exkpm_mbbp" Type="http://schemas.openxmlformats.org/officeDocument/2006/relationships/hyperlink" Target="https://dalil.kg/document/160018" TargetMode="External"/><Relationship Id="rIdu2bn5wjrovogjmav6zznr" Type="http://schemas.openxmlformats.org/officeDocument/2006/relationships/hyperlink" Target="https://dalil.kg/document/112340" TargetMode="External"/><Relationship Id="rIdvgfrvwkea8_6gliv8ndmn" Type="http://schemas.openxmlformats.org/officeDocument/2006/relationships/hyperlink" Target="https://dalil.kg/document/112340#st_139" TargetMode="External"/><Relationship Id="rIdmceouyf2xzw9ynrrqpazv" Type="http://schemas.openxmlformats.org/officeDocument/2006/relationships/hyperlink" Target="https://dalil.kg/document/160018"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eirdwh-9cmio27mydtfl" Type="http://schemas.openxmlformats.org/officeDocument/2006/relationships/hyperlink" Target="https://dalil.kg/document/160019" TargetMode="External"/><Relationship Id="rIdqc42yy4y_tljapzasgqo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2026-09-23T22:50:47.506Z</dcterms:created>
  <dcterms:modified xsi:type="dcterms:W3CDTF">2026-09-23T22:50:47.506Z</dcterms:modified>
</cp:coreProperties>
</file>

<file path=docProps/custom.xml><?xml version="1.0" encoding="utf-8"?>
<Properties xmlns="http://schemas.openxmlformats.org/officeDocument/2006/custom-properties" xmlns:vt="http://schemas.openxmlformats.org/officeDocument/2006/docPropsVTypes"/>
</file>