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l-_r-5g8z2qjeifsz0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эксперимента по совершению таможенных операций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эксперимента по совершению таможенных операций с назначенным оператором почтовой связи (хозяйственное общество с государственной долей участия) с применением таможенной процедуры таможенного склада в отношении товаров, ввозимых в Кыргызскую Республику в целях последующего приобретения физическими лицами в рамках трансграничной (внешней) электронной торговли и пересылаемых в международных почтовых отправлениях, за исключением: 1) подакцизных товаров; 2) товаров, в отношении которых применяются льготы по уплате таможенных пошлин, налогов, тарифные квоты, тарифные преференции; 3) товаров, в отношении которых установлены специальные защитные, антидемпинговые, компенсационные меры и (или) иные меры защиты внутреннего рынка (далее - товары, эксперимент), место его проведения, согласно распоряжению Совета Евразийской экономической комиссии "Об отдельных вопросах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5 апреля 2021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Эксперимент проводится с целью апробации совершения таможенных операций оператором электронной торговли с применением таможенной процедуры таможенного склада в отношении товаров, участвующих в эксперименте в целях их выдачи с такого склада, после приобретения физическим лицом, с использованием информационно-телекоммуникационной сети "Интернет", и помещении под таможенную процедуру: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для внутреннего потребления на основании заявления о выпуске товаров до подачи декларации на товары с последующей подачей декларации на товары по форме, установленной решением Комиссии Таможенного союза "О форме декларации на товары и порядке ее заполнения" от 20 мая 2010 года № 257, для доставки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реэкспорта, с подачей декларации на товары по форме, установленной решением Комиссии Таможенного союза "О форме декларации на товары и порядке ее заполнения" от 20 мая 2010 года № 257, для доставки за пределы таможенной территории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таможенного транзита, по форме, установленной решением Комиссии Таможенного союза "О форме и порядке заполнения транзитной декларации" от 18 июня 2010 года № 289, для доставки на территорию другого государства-члена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Эксперимент проводится на таможенных складах, расположенных в местах международного почтового обмена назначенного оператора почтовой связи (хозяйственное общество с государственной долей участия).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склады, на которых проводится эксперимент, должны соответствовать требованиям к их обустройству и оборудованию, установленным статьей 222 Закона Кыргызской Республики "О таможенном регулировании", быть оборудованы досмотровой рентгеновской техникой, достаточной для проведения осмотра всех товаров, помещаемых под таможенную процедуру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Операторы электронной торговли ежеквартально, до 5-го числа месяца, следующего за отчетным кварталом, предоставляют в уполномоченный государственный орган в сфере таможенного дела отчет о количестве товаров электронной торговли, помещенных под таможенную процедуру таможенного склада и выпущенных в соответствии с таможенной процедурой выпуска для внутреннего потребления в рамках эксперимента.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направляет в уполномоченный государственный орган в сфере экономики и коммерции отчеты о ходе проведения эксперимента ежеквартально, до 15-го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должны содержать информацию о количестве выпущенных в соответствии с таможенной процедурой выпуска для внутреннего потребления товаров, участвующих в эксперименте, их весе и таможенной стоимости от общего количества товаров, участвующих в эксперименте и помещенных под таможенную процедуру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Эксперимент проводится до вступления в силу соответствующих международных договоров и актов, составляющих право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Особенности применения таможенных процедур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Помещение товаров, участвующих в эксперименте, под таможенную процедуру таможенного склада осуществляется оператором с применением декларации на товары, заполненной в соответствии с решением Комиссии Таможенного союза "О форме декларации на товары и порядке ее заполнения" от 20 мая 2010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Оператором в уполномоченный государственный орган в сфере таможенного дела представляется информация об уникальных номерах международных почтовых отправлений (уникальный 13-значный буквенно-цифровой идентификатор письменной корреспонденции и посылок, соответствующий стандарту S10 Сборника технических стандартов Всемирного почтового союза, который наносится на каждое международное почтовое отправление), в которых товары, участвующие в эксперименте, будут ввозиться в Кыргызскую Республику и вывозиться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пересылке в международных почтовых отправлениях товаров, участвующих в эксперименте, в сопровождающих международные почтовые отправления декларациях CN 23, предусмотренных актами Всемирного почтового союза, получателем товаров при вывозе с таможенного склада указывается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находящихся на таможенных складах, действие таможенной процедуры таможенного склада завершается до истечения срока действия этой таможенной процедуры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157 </w:t>
      </w:r>
      <w:r>
        <w:rPr>
          <w:rFonts w:ascii="Arial" w:cs="Arial" w:eastAsia="Arial" w:hAnsi="Arial"/>
          <w:sz w:val="24"/>
          <w:szCs w:val="24"/>
        </w:rPr>
        <w:t xml:space="preserve">Таможенного кодекса Евразийского экономического союза (далее - Кодекс Союза):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помещением товаров, участвующих в эксперименте, под таможенную процедуру выпуска для внутреннего потребления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20 </w:t>
      </w:r>
      <w:r>
        <w:rPr>
          <w:rFonts w:ascii="Arial" w:cs="Arial" w:eastAsia="Arial" w:hAnsi="Arial"/>
          <w:sz w:val="24"/>
          <w:szCs w:val="24"/>
        </w:rPr>
        <w:t xml:space="preserve">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помещением товаров, участвующих в эксперименте, под таможенную процедуру реэкспорта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32</w:t>
      </w:r>
      <w:r>
        <w:rPr>
          <w:rFonts w:ascii="Arial" w:cs="Arial" w:eastAsia="Arial" w:hAnsi="Arial"/>
          <w:sz w:val="24"/>
          <w:szCs w:val="24"/>
        </w:rPr>
        <w:t xml:space="preserve"> 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помещением товаров, участвующих в эксперименте, под таможенную процедуру транзита в соответствии с подпунктом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161</w:t>
      </w:r>
      <w:r>
        <w:rPr>
          <w:rFonts w:ascii="Arial" w:cs="Arial" w:eastAsia="Arial" w:hAnsi="Arial"/>
          <w:sz w:val="24"/>
          <w:szCs w:val="24"/>
        </w:rPr>
        <w:t xml:space="preserve"> Кодекса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признанием таможенным органом, в регионе деятельности которого функционирует таможенный склад, на котором проводится эксперимент, факта уничтожения и (или) безвозвратной утраты товаров, участвующих в эксперименте, вследствие аварии или действия непреодолимой силы либо факта их безвозвратной утраты в результате естественной убыли при нормальных условиях перевозки (транспортировки) и (или)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получения информации от иностранной интернет-площадки о совершении физическим лицом, постоянно или временно проживающим на территории Кыргызской Республики,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до подачи декларации на товары в соответствии с таможенной процедурой выпуска для внутреннего потребления, согласно решению Совета Евразийской экономической комиссии "О категории товаров, которые могут быть заявлены к выпуску до подачи декларации на товары" от 14 сентября 2021 года № 81, с применением заявления в объеме сведений, указанных в Решении Коллегии Евразийской экономической комиссии "О заявлении о выпуске товаров до подачи декларации на товары" от 13 декабря 2017 года № 171, с учетом особенностей его заполнения, установленных решением Коллегии Евразийской экономической комиссии "Об особенностях заполнения заявления о выпуске товаров до подачи декларации на товары в отношении товаров, декларирование которых осуществляется в рамках проведения в государствах-членах Евразийского экономического союза пилотного проекта (эксперимента) в области внешней электронной торговли товарами" от 3 августа 2021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абзацем первым настоящего пункта, подается оператором и должно содержать сведения в отношении товаров, участвующих в эксперименте и приобретенных физическим лицом на одной иностранной интернет-площадке, пересылаемых в одном почтовом отправлении и размещенных на таможенном складе, расположенном в одном месте международного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информации от иностранной интернет-площадки о совершении физическим лицом государства, не являющегося членом Евразийского экономического союза,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в соответствии с таможенной процедурой реэкспорта.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информации от иностранной интернет-площадки о совершении физическим лицом другого государства-члена Евразийского экономического союза сделки купли-продажи товаров, участвующих в эксперименте и помещенных под таможенную процедуру таможенного склада, оператором совершаются таможенные операции, связанные с выпуском товаров в соответствии с таможенной процедурой таможенного транзита, в соответствии с подпунктом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161 </w:t>
      </w:r>
      <w:r>
        <w:rPr>
          <w:rFonts w:ascii="Arial" w:cs="Arial" w:eastAsia="Arial" w:hAnsi="Arial"/>
          <w:sz w:val="24"/>
          <w:szCs w:val="24"/>
        </w:rPr>
        <w:t xml:space="preserve">Кодекса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Подача декларации на товары, указанные в пунктах 10, 11 настоящего Положения, осуществляется в электронном виде в объеме сведений, указанных в решении Комиссии Таможенного союза "О форме декларации на товары и порядке ее заполнения" от 20 мая 2010 года № 257 и сведений из документов, предусмотренных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Подача декларации на товары, указанные в пункте 12 настоящего Положения, осуществляется в электронном виде в объеме сведений, указанных в решении Комиссии Таможенного союза "О форме и порядке заполнения транзитной декларации" от 18 июня 2010 года № 289, и сведений из документов, предусмотренных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помещении товаров, участвующих в эксперименте, под таможенную процедуру таможенного склада, выпуска для внутреннего потребления, реэкспорта и таможенного транзита меры по защите прав на объекты интеллектуальной собственности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52</w:t>
      </w:r>
      <w:r>
        <w:rPr>
          <w:rFonts w:ascii="Arial" w:cs="Arial" w:eastAsia="Arial" w:hAnsi="Arial"/>
          <w:sz w:val="24"/>
          <w:szCs w:val="24"/>
        </w:rPr>
        <w:t xml:space="preserve"> Кодекса Союза таможенными органами не применяются.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настоящего Положения уполномоченный государственный орган в сфере таможенного дела утверждает порядок совершения таможенных операций, связанных с помещением под таможенные процедуры и выпуском товаров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Операторами электронной торговли совместно с уполномоченным государственным органом в сфере таможенного дела разрабатываются соответствующие технологические схемы взаимодействия, которые утверждаются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do1n5w0ygekufnu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dalil.kg/document/160063</w:t>
      </w:r>
    </w:hyperlink>
  </w:p>
  <w:p>
    <w:pPr>
      <w:spacing w:after="0" w:before="40"/>
      <w:jc w:val="center"/>
    </w:pPr>
    <w:hyperlink w:history="1" r:id="rIda6mjxr_bwdz_s0lcpww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-_r-5g8z2qjeifsz0jq" Type="http://schemas.openxmlformats.org/officeDocument/2006/relationships/hyperlink" Target="https://dalil.kg/document/16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do1n5w0ygekufnuahe" Type="http://schemas.openxmlformats.org/officeDocument/2006/relationships/hyperlink" Target="https://dalil.kg/document/160063" TargetMode="External"/><Relationship Id="rIda6mjxr_bwdz_s0lcpww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2026-09-29T17:56:58.314Z</dcterms:created>
  <dcterms:modified xsi:type="dcterms:W3CDTF">2026-09-29T17:56:58.314Z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