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ind w:firstLine="397"/>
        <w:jc w:val="center"/>
      </w:pPr>
      <w:r>
        <w:rPr>
          <w:rFonts w:ascii="Arial" w:cs="Arial" w:eastAsia="Arial" w:hAnsi="Arial"/>
          <w:i/>
          <w:iCs/>
          <w:sz w:val="24"/>
          <w:szCs w:val="24"/>
        </w:rPr>
        <w:t xml:space="preserve">УТРАТИЛО СИЛУ
 в соответствии с </w:t>
      </w:r>
      <w:hyperlink w:history="1" r:id="rIdxrdaqckybw4x2yzkkhc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6 апреля 2023 года № 187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16 января 2023 года № 20</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ogo4s5usdbv1fsiqoyfu">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абзаца 4 пункта 2 </w:t>
      </w:r>
      <w:hyperlink w:history="1" r:id="rId7p7hvo6cs_nipqn2dp2j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экономическом проекте "Одно село - один продукт" от 20 февраля 2023 года № 29, в соответствии со </w:t>
      </w:r>
      <w:hyperlink w:history="1" r:id="rIdxrzyhspe5wssxf-c4dvwq">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ln3cutvr9ghwddgpjq2i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3ryfitj61vx_yswp4d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jlhjhma28djtygqk5h4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Типового положения о фондах развития регионов" от 16 января 2023 года № 20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1) (утратил силу в соответствии с </w:t>
      </w:r>
      <w:hyperlink w:history="1" r:id="rIdf_tsh4o9nv6qnnr3fty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12 октября 2023 года № 545)</w:t>
      </w:r>
    </w:p>
    <w:p>
      <w:pPr>
        <w:spacing w:after="120"/>
        <w:jc w:val="both"/>
      </w:pPr>
      <w:r>
        <w:rPr>
          <w:rFonts w:ascii="Arial" w:cs="Arial" w:eastAsia="Arial" w:hAnsi="Arial"/>
          <w:sz w:val="24"/>
          <w:szCs w:val="24"/>
        </w:rPr>
        <w:t xml:space="preserve">2) </w:t>
      </w:r>
      <w:hyperlink w:history="1" r:id="rIdbqkse9yrs7n6cikhtlnuj">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изложить в редакции согласно </w:t>
      </w:r>
      <w:hyperlink w:history="1" r:id="rIdu16k76xrlzlheefkdrz5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hyperlink w:history="1" r:id="rIderjnmgincf8qmogqugogf">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8inkx2xo6ek-cbnkqokq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(В редакции постановления Кабинета Министров КР от </w:t>
      </w:r>
      <w:hyperlink w:history="1" r:id="rId1lzkka3t6wh4rgphihp4a">
        <w:r>
          <w:rPr>
            <w:rFonts w:ascii="Arial" w:cs="Arial" w:eastAsia="Arial" w:hAnsi="Arial"/>
            <w:color w:val="1D4ED8"/>
            <w:sz w:val="24"/>
            <w:szCs w:val="24"/>
            <w:u w:val="single"/>
          </w:rPr>
          <w:t xml:space="preserve">12 октября 2023 года № 545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18 апреля 2023 года № 31 (3480)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lopp13golvvszfyiw5lbd">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ТИПОВОЕ ПОЛОЖЕНИЕ
 о Фондах развития регионов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soc1x2weifxokyyxefn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6fzkrysutve_h3c6hy1y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ozckrx1ziajoauuesnk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bx390unbtsuwkaem6ol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ym9xi9mrl3nl4sflvsgo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uvpmwzovgjyycr-h5rzi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zqij2qwmft3mrwggp_w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32"/>
          <w:szCs w:val="32"/>
        </w:rPr>
        <w:t xml:space="preserve">Глава 2. Понятия, применяемые в настоящем Типовом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заявитель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исполнитель проекта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инфраструктурные услуги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инфраструктурный объект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инфраструктурный проект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мобилизация местного сообщества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проектная заявка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план финансирования проекта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план мониторинга и оценки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социальный проект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экономический проект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60"/>
        <w:ind w:firstLine="567"/>
        <w:jc w:val="both"/>
      </w:pPr>
      <w:r>
        <w:rPr>
          <w:rFonts w:ascii="Arial" w:cs="Arial" w:eastAsia="Arial" w:hAnsi="Arial"/>
          <w:sz w:val="24"/>
          <w:szCs w:val="24"/>
        </w:rPr>
        <w:t xml:space="preserve">12) стартап проект - это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субъект предпринимательства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14) долевое участие в экономических проектах - совместная деятельность Фондов и субъектов предпринимательства, зарегистрированных и ведущих свою деятельность на территории области или района, по реализации совместных экономических проектов при условии, что финансовые соглашения по таким проектам предусматривают обязательства субъектов предпринимательства по целевому использованию, платности, срочности и возвратности предоставляемых Фондом средств.</w:t>
      </w:r>
    </w:p>
    <w:p>
      <w:pPr>
        <w:spacing w:after="200" w:before="200"/>
        <w:jc w:val="center"/>
      </w:pPr>
      <w:r>
        <w:rPr>
          <w:rFonts w:ascii="Arial" w:cs="Arial" w:eastAsia="Arial" w:hAnsi="Arial"/>
          <w:b/>
          <w:bCs/>
          <w:sz w:val="32"/>
          <w:szCs w:val="32"/>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60"/>
        <w:ind w:firstLine="567"/>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реализацию совместных экономических проектов с субъектами предпринимательства на принципах долевого участия;</w:t>
      </w:r>
    </w:p>
    <w:p>
      <w:pPr>
        <w:spacing w:after="60"/>
        <w:ind w:firstLine="567"/>
        <w:jc w:val="both"/>
      </w:pPr>
      <w:r>
        <w:rPr>
          <w:rFonts w:ascii="Arial" w:cs="Arial" w:eastAsia="Arial" w:hAnsi="Arial"/>
          <w:sz w:val="24"/>
          <w:szCs w:val="24"/>
        </w:rPr>
        <w:t xml:space="preserve">- реализацию совместных экономических проектов с участниками Национального экономического проекта "Одно село - один продукт" на основе срочности, платности и возвратности (на принципах долевого участия и/или через предоставление льготных кредитных средств через Банк);</w:t>
      </w:r>
    </w:p>
    <w:p>
      <w:pPr>
        <w:spacing w:after="60"/>
        <w:ind w:firstLine="567"/>
        <w:jc w:val="both"/>
      </w:pPr>
      <w:r>
        <w:rPr>
          <w:rFonts w:ascii="Arial" w:cs="Arial" w:eastAsia="Arial" w:hAnsi="Arial"/>
          <w:sz w:val="24"/>
          <w:szCs w:val="24"/>
        </w:rPr>
        <w:t xml:space="preserve">- разработку технической документации инфраструктурных проектов, экономических проектов, в том числе проектов государственно-частного партнерства,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60"/>
        <w:ind w:firstLine="567"/>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60"/>
        <w:ind w:firstLine="567"/>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60"/>
        <w:ind w:firstLine="567"/>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60"/>
        <w:ind w:firstLine="567"/>
        <w:jc w:val="both"/>
      </w:pPr>
      <w:r>
        <w:rPr>
          <w:rFonts w:ascii="Arial" w:cs="Arial" w:eastAsia="Arial" w:hAnsi="Arial"/>
          <w:sz w:val="24"/>
          <w:szCs w:val="24"/>
        </w:rPr>
        <w:t xml:space="preserve">- финансирование мероприятий по жилищному обеспечению работников социальной сферы путем предоставления финансовых средств открытому акционерному обществу "Государственная Ипотечная Компания" на основе срочности и возвратности, посредством заключения соответствующего финансового соглашения;</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60"/>
        <w:ind w:firstLine="567"/>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60"/>
        <w:ind w:firstLine="567"/>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60"/>
        <w:ind w:firstLine="567"/>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совместных экономических проектах с субъектами предпринимательства. Доля сторон в экономическом проекте, условия участия Фонда, ответственность сторон, срок и механизм возврата средств определяется по согласованию сторон в двустороннем соглашении, заключаемом между Фондом и субъектом предпринимательства.</w:t>
      </w:r>
    </w:p>
    <w:p>
      <w:pPr>
        <w:spacing w:after="60"/>
        <w:ind w:firstLine="567"/>
        <w:jc w:val="both"/>
      </w:pPr>
      <w:r>
        <w:rPr>
          <w:rFonts w:ascii="Arial" w:cs="Arial" w:eastAsia="Arial" w:hAnsi="Arial"/>
          <w:sz w:val="24"/>
          <w:szCs w:val="24"/>
        </w:rPr>
        <w:t xml:space="preserve">Не допускается прямое перечисление средств Фонда субъекту предпринимательства. Фонд может исполнить свои обязательства в рамках двустороннего соглашения путем приобретения товаров и услуг.</w:t>
      </w:r>
    </w:p>
    <w:p>
      <w:pPr>
        <w:spacing w:after="120"/>
        <w:ind w:firstLine="567"/>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5610"/>
        <w:gridCol w:w="4090"/>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47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 (а+б, не менее 20%)</w:t>
            </w:r>
          </w:p>
        </w:tc>
      </w:tr>
      <w:tr>
        <w:tc>
          <w:tcPr>
            <w:vMerge w:val="continue"/>
            <w:tcBorders>
              <w:top w:val="none" w:color="auto" w:sz="0"/>
              <w:left w:val="single" w:color="CBBF9E" w:sz="4"/>
              <w:bottom w:val="single" w:color="CBBF9E" w:sz="4"/>
              <w:right w:val="single" w:color="CBBF9E" w:sz="4"/>
            </w:tcBorders>
          </w:tcP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льготное кредитование через Банк</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vMerge w:val="continue"/>
            <w:tcBorders>
              <w:top w:val="none" w:color="auto" w:sz="0"/>
              <w:left w:val="single" w:color="CBBF9E" w:sz="4"/>
              <w:bottom w:val="single" w:color="CBBF9E" w:sz="4"/>
              <w:right w:val="single" w:color="CBBF9E" w:sz="4"/>
            </w:tcBorders>
          </w:tcP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принципах долевого участия</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w:t>
            </w:r>
            <w:r>
              <w:rPr>
                <w:rFonts w:ascii="Arial" w:cs="Arial" w:eastAsia="Arial" w:hAnsi="Arial"/>
                <w:b/>
                <w:bCs/>
                <w:sz w:val="24"/>
                <w:szCs w:val="24"/>
              </w:rPr>
              <w:t xml:space="preserve">1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 </w:t>
            </w:r>
            <w:r>
              <w:rPr>
                <w:rFonts w:ascii="Arial" w:cs="Arial" w:eastAsia="Arial" w:hAnsi="Arial"/>
                <w:b/>
                <w:bCs/>
                <w:sz w:val="24"/>
                <w:szCs w:val="24"/>
              </w:rPr>
              <w:t xml:space="preserve">+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60" w:before="120"/>
        <w:ind w:firstLine="567"/>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решением Наблюдательного совета Фонда в установленном настоящим Типовым положением порядке.</w:t>
      </w:r>
    </w:p>
    <w:p>
      <w:pPr>
        <w:spacing w:after="200" w:before="200"/>
        <w:jc w:val="center"/>
      </w:pPr>
      <w:r>
        <w:rPr>
          <w:rFonts w:ascii="Arial" w:cs="Arial" w:eastAsia="Arial" w:hAnsi="Arial"/>
          <w:b/>
          <w:bCs/>
          <w:sz w:val="32"/>
          <w:szCs w:val="32"/>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32"/>
          <w:szCs w:val="32"/>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60"/>
        <w:ind w:firstLine="567"/>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60"/>
        <w:ind w:firstLine="567"/>
        <w:jc w:val="both"/>
      </w:pPr>
      <w:r>
        <w:rPr>
          <w:rFonts w:ascii="Arial" w:cs="Arial" w:eastAsia="Arial" w:hAnsi="Arial"/>
          <w:sz w:val="24"/>
          <w:szCs w:val="24"/>
        </w:rPr>
        <w:t xml:space="preserve">6) принятие решения об одобрении финансового соглашения о долевом участии Фонда в совместных экономических проектах с субъектами предпринимательства;</w:t>
      </w:r>
    </w:p>
    <w:p>
      <w:pPr>
        <w:spacing w:after="60"/>
        <w:ind w:firstLine="567"/>
        <w:jc w:val="both"/>
      </w:pPr>
      <w:r>
        <w:rPr>
          <w:rFonts w:ascii="Arial" w:cs="Arial" w:eastAsia="Arial" w:hAnsi="Arial"/>
          <w:sz w:val="24"/>
          <w:szCs w:val="24"/>
        </w:rPr>
        <w:t xml:space="preserve">7) принятие решения о заключении или расторжении финансового соглашения между Фондом и открытым акционерным обществом "Государственная Ипотечная Компания" на право получения денежных средств для реализации проектов по жилищному обеспечению работников социальной сферы;</w:t>
      </w:r>
    </w:p>
    <w:p>
      <w:pPr>
        <w:spacing w:after="60"/>
        <w:ind w:firstLine="567"/>
        <w:jc w:val="both"/>
      </w:pPr>
      <w:r>
        <w:rPr>
          <w:rFonts w:ascii="Arial" w:cs="Arial" w:eastAsia="Arial" w:hAnsi="Arial"/>
          <w:sz w:val="24"/>
          <w:szCs w:val="24"/>
        </w:rPr>
        <w:t xml:space="preserve">8) заслушивание отчета дирекции Фонда об использовании средств, направленных на финансирование экономических проектов;</w:t>
      </w:r>
    </w:p>
    <w:p>
      <w:pPr>
        <w:spacing w:after="60"/>
        <w:ind w:firstLine="567"/>
        <w:jc w:val="both"/>
      </w:pPr>
      <w:r>
        <w:rPr>
          <w:rFonts w:ascii="Arial" w:cs="Arial" w:eastAsia="Arial" w:hAnsi="Arial"/>
          <w:sz w:val="24"/>
          <w:szCs w:val="24"/>
        </w:rPr>
        <w:t xml:space="preserve">9) рассмотрение и утверждение состава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10)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11) утверждение порядка подачи, рассмотрения и принятия решений по претензиям участников конкурсного отбора;</w:t>
      </w:r>
    </w:p>
    <w:p>
      <w:pPr>
        <w:spacing w:after="60"/>
        <w:ind w:firstLine="567"/>
        <w:jc w:val="both"/>
      </w:pPr>
      <w:r>
        <w:rPr>
          <w:rFonts w:ascii="Arial" w:cs="Arial" w:eastAsia="Arial" w:hAnsi="Arial"/>
          <w:sz w:val="24"/>
          <w:szCs w:val="24"/>
        </w:rPr>
        <w:t xml:space="preserve">12)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13)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14) утверждение штатного расписания и сметы расходов дирекции Фонда;</w:t>
      </w:r>
    </w:p>
    <w:p>
      <w:pPr>
        <w:spacing w:after="60"/>
        <w:ind w:firstLine="567"/>
        <w:jc w:val="both"/>
      </w:pPr>
      <w:r>
        <w:rPr>
          <w:rFonts w:ascii="Arial" w:cs="Arial" w:eastAsia="Arial" w:hAnsi="Arial"/>
          <w:sz w:val="24"/>
          <w:szCs w:val="24"/>
        </w:rPr>
        <w:t xml:space="preserve">15) принятие решения по реализации проекта дирекцией Фонда в соответствии с </w:t>
      </w:r>
      <w:hyperlink w:history="1" r:id="rIdlcqzedt-fifk_tnhkmt3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20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26.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значительного вреда интересам Фонда в любой форме,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27. Заседания Наблюдательного совета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29.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34.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32"/>
          <w:szCs w:val="32"/>
        </w:rPr>
        <w:t xml:space="preserve">§ 3. Дирекция Фонда</w:t>
      </w:r>
    </w:p>
    <w:p>
      <w:pPr>
        <w:spacing w:after="60"/>
        <w:ind w:firstLine="567"/>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60"/>
        <w:ind w:firstLine="567"/>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60"/>
        <w:ind w:firstLine="567"/>
        <w:jc w:val="both"/>
      </w:pPr>
      <w:r>
        <w:rPr>
          <w:rFonts w:ascii="Arial" w:cs="Arial" w:eastAsia="Arial" w:hAnsi="Arial"/>
          <w:sz w:val="24"/>
          <w:szCs w:val="24"/>
        </w:rPr>
        <w:t xml:space="preserve">40. Штатное расписание и административные расходы дирекции Фонда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95, 96 настоящего Типового положения.</w:t>
      </w:r>
    </w:p>
    <w:p>
      <w:pPr>
        <w:spacing w:after="60"/>
        <w:ind w:firstLine="567"/>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42. Функции и полномочия дирекции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60"/>
        <w:ind w:firstLine="567"/>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7) по решению Наблюдательного совета Фонда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60"/>
        <w:ind w:firstLine="567"/>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Фонда, мониторинга и оценки проектов;</w:t>
      </w:r>
    </w:p>
    <w:p>
      <w:pPr>
        <w:spacing w:after="60"/>
        <w:ind w:firstLine="567"/>
        <w:jc w:val="both"/>
      </w:pPr>
      <w:r>
        <w:rPr>
          <w:rFonts w:ascii="Arial" w:cs="Arial" w:eastAsia="Arial" w:hAnsi="Arial"/>
          <w:sz w:val="24"/>
          <w:szCs w:val="24"/>
        </w:rPr>
        <w:t xml:space="preserve">10)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60"/>
        <w:ind w:firstLine="567"/>
        <w:jc w:val="both"/>
      </w:pPr>
      <w:r>
        <w:rPr>
          <w:rFonts w:ascii="Arial" w:cs="Arial" w:eastAsia="Arial" w:hAnsi="Arial"/>
          <w:sz w:val="24"/>
          <w:szCs w:val="24"/>
        </w:rPr>
        <w:t xml:space="preserve">11)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12) подготавливает информацию для аудита;</w:t>
      </w:r>
    </w:p>
    <w:p>
      <w:pPr>
        <w:spacing w:after="60"/>
        <w:ind w:firstLine="567"/>
        <w:jc w:val="both"/>
      </w:pPr>
      <w:r>
        <w:rPr>
          <w:rFonts w:ascii="Arial" w:cs="Arial" w:eastAsia="Arial" w:hAnsi="Arial"/>
          <w:sz w:val="24"/>
          <w:szCs w:val="24"/>
        </w:rPr>
        <w:t xml:space="preserve">13)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43. Функции и полномочия исполнительного директора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Банком на основании решения Наблюдательного совета Фонда;</w:t>
      </w:r>
    </w:p>
    <w:p>
      <w:pPr>
        <w:spacing w:after="60"/>
        <w:ind w:firstLine="567"/>
        <w:jc w:val="both"/>
      </w:pPr>
      <w:r>
        <w:rPr>
          <w:rFonts w:ascii="Arial" w:cs="Arial" w:eastAsia="Arial" w:hAnsi="Arial"/>
          <w:sz w:val="24"/>
          <w:szCs w:val="24"/>
        </w:rPr>
        <w:t xml:space="preserve">4) подписывает финансовое соглашение с субъектом предпринимательства о долевом участии Фонда в совместном экономическом проекте на основании решения Наблюдательного совета Фонда;</w:t>
      </w:r>
    </w:p>
    <w:p>
      <w:pPr>
        <w:spacing w:after="60"/>
        <w:ind w:firstLine="567"/>
        <w:jc w:val="both"/>
      </w:pPr>
      <w:r>
        <w:rPr>
          <w:rFonts w:ascii="Arial" w:cs="Arial" w:eastAsia="Arial" w:hAnsi="Arial"/>
          <w:sz w:val="24"/>
          <w:szCs w:val="24"/>
        </w:rPr>
        <w:t xml:space="preserve">5)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6)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7) организовывает отбор сотрудников в соответствии с Трудовым </w:t>
      </w:r>
      <w:hyperlink w:history="1" r:id="rIdgq36xopromxbqrawtkzd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9)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10)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прогнозирования и исполнения бюджета и государственному органу по вопросам экономики отчет об исполнении средств Фонда за отчетный год и отчет о реализации проектов.</w:t>
      </w:r>
    </w:p>
    <w:p>
      <w:pPr>
        <w:spacing w:after="60"/>
        <w:ind w:firstLine="567"/>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32"/>
          <w:szCs w:val="32"/>
        </w:rPr>
        <w:t xml:space="preserve">§ 1. Порядок подачи проектной заявки на финансирование социальных и инфраструктурных проектов</w:t>
      </w:r>
    </w:p>
    <w:p>
      <w:pPr>
        <w:spacing w:after="60"/>
        <w:ind w:firstLine="567"/>
        <w:jc w:val="both"/>
      </w:pPr>
      <w:r>
        <w:rPr>
          <w:rFonts w:ascii="Arial" w:cs="Arial" w:eastAsia="Arial" w:hAnsi="Arial"/>
          <w:sz w:val="24"/>
          <w:szCs w:val="24"/>
        </w:rPr>
        <w:t xml:space="preserve">48.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49. Заявитель оформляет заявку на проект по форме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6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50. Дирекция Фонда регистрирует поступившие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51.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52.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53. Наблюдательный совет Фонда не позднее 30 декабря текущего года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54.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55. Отбор проектов осуществляется членами Наблюдательного совета Фонда на заседании на основе подсчета баллов, которые выставляются по критериям согласно приложению 4 Типового положения.</w:t>
      </w:r>
    </w:p>
    <w:p>
      <w:pPr>
        <w:spacing w:after="60"/>
        <w:ind w:firstLine="567"/>
        <w:jc w:val="both"/>
      </w:pPr>
      <w:r>
        <w:rPr>
          <w:rFonts w:ascii="Arial" w:cs="Arial" w:eastAsia="Arial" w:hAnsi="Arial"/>
          <w:sz w:val="24"/>
          <w:szCs w:val="24"/>
        </w:rPr>
        <w:t xml:space="preserve">56.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57.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Типового положения.</w:t>
      </w:r>
    </w:p>
    <w:p>
      <w:pPr>
        <w:spacing w:after="60"/>
        <w:ind w:firstLine="567"/>
        <w:jc w:val="both"/>
      </w:pPr>
      <w:r>
        <w:rPr>
          <w:rFonts w:ascii="Arial" w:cs="Arial" w:eastAsia="Arial" w:hAnsi="Arial"/>
          <w:sz w:val="24"/>
          <w:szCs w:val="24"/>
        </w:rPr>
        <w:t xml:space="preserve">58.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77 Типового положения.</w:t>
      </w:r>
    </w:p>
    <w:p>
      <w:pPr>
        <w:spacing w:after="60"/>
        <w:ind w:firstLine="567"/>
        <w:jc w:val="both"/>
      </w:pPr>
      <w:r>
        <w:rPr>
          <w:rFonts w:ascii="Arial" w:cs="Arial" w:eastAsia="Arial" w:hAnsi="Arial"/>
          <w:sz w:val="24"/>
          <w:szCs w:val="24"/>
        </w:rPr>
        <w:t xml:space="preserve">59.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60"/>
        <w:ind w:firstLine="567"/>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60.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32"/>
          <w:szCs w:val="32"/>
        </w:rPr>
        <w:t xml:space="preserve">§ 2. Порядок подачи проектной заявки на финансирование экономических проектов через Банк</w:t>
      </w:r>
    </w:p>
    <w:p>
      <w:pPr>
        <w:spacing w:after="60"/>
        <w:ind w:firstLine="567"/>
        <w:jc w:val="both"/>
      </w:pPr>
      <w:r>
        <w:rPr>
          <w:rFonts w:ascii="Arial" w:cs="Arial" w:eastAsia="Arial" w:hAnsi="Arial"/>
          <w:sz w:val="24"/>
          <w:szCs w:val="24"/>
        </w:rPr>
        <w:t xml:space="preserve">61. Дирекция Фонда осуществляет прием заявок на финансирование экономических проектов от субъектов предпринимательства в соответствии с приложением 3 Типового положения на ежеквартальной основе не позднее 1 числа второго месяца текущего квартала.</w:t>
      </w:r>
    </w:p>
    <w:p>
      <w:pPr>
        <w:spacing w:after="60"/>
        <w:ind w:firstLine="567"/>
        <w:jc w:val="both"/>
      </w:pPr>
      <w:r>
        <w:rPr>
          <w:rFonts w:ascii="Arial" w:cs="Arial" w:eastAsia="Arial" w:hAnsi="Arial"/>
          <w:sz w:val="24"/>
          <w:szCs w:val="24"/>
        </w:rPr>
        <w:t xml:space="preserve">62.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60"/>
        <w:ind w:firstLine="567"/>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60"/>
        <w:ind w:firstLine="567"/>
        <w:jc w:val="both"/>
      </w:pPr>
      <w:r>
        <w:rPr>
          <w:rFonts w:ascii="Arial" w:cs="Arial" w:eastAsia="Arial" w:hAnsi="Arial"/>
          <w:sz w:val="24"/>
          <w:szCs w:val="24"/>
        </w:rPr>
        <w:t xml:space="preserve">63. Заседание Наблюдательного совета Фонда проводится не позднее 20 числа второго месяца текущего квартала.</w:t>
      </w:r>
    </w:p>
    <w:p>
      <w:pPr>
        <w:spacing w:after="60"/>
        <w:ind w:firstLine="567"/>
        <w:jc w:val="both"/>
      </w:pPr>
      <w:r>
        <w:rPr>
          <w:rFonts w:ascii="Arial" w:cs="Arial" w:eastAsia="Arial" w:hAnsi="Arial"/>
          <w:sz w:val="24"/>
          <w:szCs w:val="24"/>
        </w:rPr>
        <w:t xml:space="preserve">64. Отбор проектов осуществляется членами Наблюдательного совета Фонда на заседании на основе подсчета баллов, которые выставляются по критериям согласно приложению 5 к настоящему Типовому положению.</w:t>
      </w:r>
    </w:p>
    <w:p>
      <w:pPr>
        <w:spacing w:after="6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6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60"/>
        <w:ind w:firstLine="567"/>
        <w:jc w:val="both"/>
      </w:pPr>
      <w:r>
        <w:rPr>
          <w:rFonts w:ascii="Arial" w:cs="Arial" w:eastAsia="Arial" w:hAnsi="Arial"/>
          <w:sz w:val="24"/>
          <w:szCs w:val="24"/>
        </w:rPr>
        <w:t xml:space="preserve">65.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60"/>
        <w:ind w:firstLine="567"/>
        <w:jc w:val="both"/>
      </w:pPr>
      <w:r>
        <w:rPr>
          <w:rFonts w:ascii="Arial" w:cs="Arial" w:eastAsia="Arial" w:hAnsi="Arial"/>
          <w:sz w:val="24"/>
          <w:szCs w:val="24"/>
        </w:rPr>
        <w:t xml:space="preserve">66.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60"/>
        <w:ind w:firstLine="567"/>
        <w:jc w:val="both"/>
      </w:pPr>
      <w:r>
        <w:rPr>
          <w:rFonts w:ascii="Arial" w:cs="Arial" w:eastAsia="Arial" w:hAnsi="Arial"/>
          <w:sz w:val="24"/>
          <w:szCs w:val="24"/>
        </w:rPr>
        <w:t xml:space="preserve">67.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200" w:before="200"/>
        <w:jc w:val="center"/>
      </w:pPr>
      <w:r>
        <w:rPr>
          <w:rFonts w:ascii="Arial" w:cs="Arial" w:eastAsia="Arial" w:hAnsi="Arial"/>
          <w:b/>
          <w:bCs/>
          <w:sz w:val="32"/>
          <w:szCs w:val="32"/>
        </w:rPr>
        <w:t xml:space="preserve">§ 3. Порядок финансирования экономических проектов через Банк</w:t>
      </w:r>
    </w:p>
    <w:p>
      <w:pPr>
        <w:spacing w:after="60"/>
        <w:ind w:firstLine="567"/>
        <w:jc w:val="both"/>
      </w:pPr>
      <w:r>
        <w:rPr>
          <w:rFonts w:ascii="Arial" w:cs="Arial" w:eastAsia="Arial" w:hAnsi="Arial"/>
          <w:sz w:val="24"/>
          <w:szCs w:val="24"/>
        </w:rPr>
        <w:t xml:space="preserve">68. Экономические проекты, планируемые к финансированию через Банк, должны способствовать социально-экономическому развитию региона.</w:t>
      </w:r>
    </w:p>
    <w:p>
      <w:pPr>
        <w:spacing w:after="6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ind w:firstLine="567"/>
        <w:jc w:val="both"/>
      </w:pPr>
      <w:r>
        <w:rPr>
          <w:rFonts w:ascii="Arial" w:cs="Arial" w:eastAsia="Arial" w:hAnsi="Arial"/>
          <w:sz w:val="24"/>
          <w:szCs w:val="24"/>
        </w:rPr>
        <w:t xml:space="preserve">69. Дирекция Фонда:</w:t>
      </w:r>
    </w:p>
    <w:p>
      <w:pPr>
        <w:spacing w:after="60"/>
        <w:ind w:firstLine="567"/>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заключает финансовое соглашение с Банком;</w:t>
      </w:r>
    </w:p>
    <w:p>
      <w:pPr>
        <w:spacing w:after="60"/>
        <w:ind w:firstLine="567"/>
        <w:jc w:val="both"/>
      </w:pPr>
      <w:r>
        <w:rPr>
          <w:rFonts w:ascii="Arial" w:cs="Arial" w:eastAsia="Arial" w:hAnsi="Arial"/>
          <w:sz w:val="24"/>
          <w:szCs w:val="24"/>
        </w:rPr>
        <w:t xml:space="preserve">3) на основании утвержденного Наблюдательным советом Фонда прогнозного объема финансирования экономических проектов через Банк в текущем году предоставляет финансовые средства Банку целиком или траншами по мере формирования средств Фонда в течение текущего года;</w:t>
      </w:r>
    </w:p>
    <w:p>
      <w:pPr>
        <w:spacing w:after="60"/>
        <w:ind w:firstLine="567"/>
        <w:jc w:val="both"/>
      </w:pPr>
      <w:r>
        <w:rPr>
          <w:rFonts w:ascii="Arial" w:cs="Arial" w:eastAsia="Arial" w:hAnsi="Arial"/>
          <w:sz w:val="24"/>
          <w:szCs w:val="24"/>
        </w:rPr>
        <w:t xml:space="preserve">4) на ежеквартальной основе предоставляет в Банк и заявителям копии решений Наблюдательного совета Фонда с перечнем одобренных экономических проектов;</w:t>
      </w:r>
    </w:p>
    <w:p>
      <w:pPr>
        <w:spacing w:after="60"/>
        <w:ind w:firstLine="567"/>
        <w:jc w:val="both"/>
      </w:pPr>
      <w:r>
        <w:rPr>
          <w:rFonts w:ascii="Arial" w:cs="Arial" w:eastAsia="Arial" w:hAnsi="Arial"/>
          <w:sz w:val="24"/>
          <w:szCs w:val="24"/>
        </w:rPr>
        <w:t xml:space="preserve">5) аккумулирует суммы основного долга и процентный доход, полученные от кредитования субъектов предпринимательства, и реинвестирует на новые экономические проекты, утвержденные решением Наблюдательного совета Фонда и одобренные Банком.</w:t>
      </w:r>
    </w:p>
    <w:p>
      <w:pPr>
        <w:spacing w:after="60"/>
        <w:ind w:firstLine="567"/>
        <w:jc w:val="both"/>
      </w:pPr>
      <w:r>
        <w:rPr>
          <w:rFonts w:ascii="Arial" w:cs="Arial" w:eastAsia="Arial" w:hAnsi="Arial"/>
          <w:sz w:val="24"/>
          <w:szCs w:val="24"/>
        </w:rPr>
        <w:t xml:space="preserve">70.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60"/>
        <w:ind w:firstLine="567"/>
        <w:jc w:val="both"/>
      </w:pPr>
      <w:r>
        <w:rPr>
          <w:rFonts w:ascii="Arial" w:cs="Arial" w:eastAsia="Arial" w:hAnsi="Arial"/>
          <w:sz w:val="24"/>
          <w:szCs w:val="24"/>
        </w:rPr>
        <w:t xml:space="preserve">71. Банк:</w:t>
      </w:r>
    </w:p>
    <w:p>
      <w:pPr>
        <w:spacing w:after="60"/>
        <w:ind w:firstLine="567"/>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60"/>
        <w:ind w:firstLine="567"/>
        <w:jc w:val="both"/>
      </w:pPr>
      <w:r>
        <w:rPr>
          <w:rFonts w:ascii="Arial" w:cs="Arial" w:eastAsia="Arial" w:hAnsi="Arial"/>
          <w:sz w:val="24"/>
          <w:szCs w:val="24"/>
        </w:rPr>
        <w:t xml:space="preserve">3) производит начисление основной суммы и процентов за пользование средствами Фонда субъектами предпринимательства на счета Фонда в Банке согласно финансовому соглашению;</w:t>
      </w:r>
    </w:p>
    <w:p>
      <w:pPr>
        <w:spacing w:after="60"/>
        <w:ind w:firstLine="567"/>
        <w:jc w:val="both"/>
      </w:pPr>
      <w:r>
        <w:rPr>
          <w:rFonts w:ascii="Arial" w:cs="Arial" w:eastAsia="Arial" w:hAnsi="Arial"/>
          <w:sz w:val="24"/>
          <w:szCs w:val="24"/>
        </w:rPr>
        <w:t xml:space="preserve">4) несет ответственность за возвратность, обеспеченность, платность и срочность заемных средств;</w:t>
      </w:r>
    </w:p>
    <w:p>
      <w:pPr>
        <w:spacing w:after="60"/>
        <w:ind w:firstLine="567"/>
        <w:jc w:val="both"/>
      </w:pPr>
      <w:r>
        <w:rPr>
          <w:rFonts w:ascii="Arial" w:cs="Arial" w:eastAsia="Arial" w:hAnsi="Arial"/>
          <w:sz w:val="24"/>
          <w:szCs w:val="24"/>
        </w:rPr>
        <w:t xml:space="preserve">5)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72. Финансовые условия Фонда:</w:t>
      </w:r>
    </w:p>
    <w:p>
      <w:pPr>
        <w:spacing w:after="60"/>
        <w:ind w:firstLine="567"/>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200" w:before="200"/>
        <w:jc w:val="center"/>
      </w:pPr>
      <w:r>
        <w:rPr>
          <w:rFonts w:ascii="Arial" w:cs="Arial" w:eastAsia="Arial" w:hAnsi="Arial"/>
          <w:b/>
          <w:bCs/>
          <w:sz w:val="32"/>
          <w:szCs w:val="32"/>
        </w:rPr>
        <w:t xml:space="preserve">§ 4. Обязательства исполнителя проекта</w:t>
      </w:r>
    </w:p>
    <w:p>
      <w:pPr>
        <w:spacing w:after="60"/>
        <w:ind w:firstLine="567"/>
        <w:jc w:val="both"/>
      </w:pPr>
      <w:r>
        <w:rPr>
          <w:rFonts w:ascii="Arial" w:cs="Arial" w:eastAsia="Arial" w:hAnsi="Arial"/>
          <w:sz w:val="24"/>
          <w:szCs w:val="24"/>
        </w:rPr>
        <w:t xml:space="preserve">73.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 по инфраструктурным, социальным проектам и экономическим проектам с долевым участием Фонда и кредитным соглашением между исполнителем и Банком по экономическим проектам, финансируемым через Банк;</w:t>
      </w:r>
    </w:p>
    <w:p>
      <w:pPr>
        <w:spacing w:after="6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32"/>
          <w:szCs w:val="32"/>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75. Финансовые средства Фонда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hyperlink w:history="1" r:id="rId_mp4woknhcvrg8f9z26z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пунктам 97-101 настоящего Типового положения;</w:t>
      </w:r>
    </w:p>
    <w:p>
      <w:pPr>
        <w:spacing w:after="60"/>
        <w:ind w:firstLine="567"/>
        <w:jc w:val="both"/>
      </w:pPr>
      <w:r>
        <w:rPr>
          <w:rFonts w:ascii="Arial" w:cs="Arial" w:eastAsia="Arial" w:hAnsi="Arial"/>
          <w:sz w:val="24"/>
          <w:szCs w:val="24"/>
        </w:rPr>
        <w:t xml:space="preserve">- за счет средств, полученных в результате кредитования субъектов предпринимательства через Банк, размещения средств Фонда на депозитных счетах в Банке и долевого участия Фонда в совместных экономических проектах с субъектами предпринимательства;</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спонсорской помощи и добровольных взносов;</w:t>
      </w:r>
    </w:p>
    <w:p>
      <w:pPr>
        <w:spacing w:after="60"/>
        <w:ind w:firstLine="567"/>
        <w:jc w:val="both"/>
      </w:pPr>
      <w:r>
        <w:rPr>
          <w:rFonts w:ascii="Arial" w:cs="Arial" w:eastAsia="Arial" w:hAnsi="Arial"/>
          <w:sz w:val="24"/>
          <w:szCs w:val="24"/>
        </w:rPr>
        <w:t xml:space="preserve">- за счет благотворительной или грантовой помощи;</w:t>
      </w:r>
    </w:p>
    <w:p>
      <w:pPr>
        <w:spacing w:after="60"/>
        <w:ind w:firstLine="567"/>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76. Прогнозные показатели по неналоговым доходам Фонда представляет уполномоченный государственный орган по вопросам государственных финансов, прогнозирования и исполнения бюджета.</w:t>
      </w:r>
    </w:p>
    <w:p>
      <w:pPr>
        <w:spacing w:after="20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77. Дирекция Фонда не позднее 1 февраля текущего года вносит в уполномоченный государственный орган по вопросам финансов, прогнозирования и исполнения бюджета решение Наблюдательного совета Фонда со следующими приложениями:</w:t>
      </w:r>
    </w:p>
    <w:p>
      <w:pPr>
        <w:spacing w:after="60"/>
        <w:ind w:firstLine="567"/>
        <w:jc w:val="both"/>
      </w:pPr>
      <w:r>
        <w:rPr>
          <w:rFonts w:ascii="Arial" w:cs="Arial" w:eastAsia="Arial" w:hAnsi="Arial"/>
          <w:sz w:val="24"/>
          <w:szCs w:val="24"/>
        </w:rPr>
        <w:t xml:space="preserve">1) утвержденный перечень социальных и инфраструктурных проектов с соответствующим прогнозным объемом финансирования на текущий год;</w:t>
      </w:r>
    </w:p>
    <w:p>
      <w:pPr>
        <w:spacing w:after="60"/>
        <w:ind w:firstLine="567"/>
        <w:jc w:val="both"/>
      </w:pPr>
      <w:r>
        <w:rPr>
          <w:rFonts w:ascii="Arial" w:cs="Arial" w:eastAsia="Arial" w:hAnsi="Arial"/>
          <w:sz w:val="24"/>
          <w:szCs w:val="24"/>
        </w:rPr>
        <w:t xml:space="preserve">2) прогнозный объем финансирования на текущий год, предназначенного для финансирования экономических проектов через Банк;</w:t>
      </w:r>
    </w:p>
    <w:p>
      <w:pPr>
        <w:spacing w:after="60"/>
        <w:ind w:firstLine="567"/>
        <w:jc w:val="both"/>
      </w:pPr>
      <w:r>
        <w:rPr>
          <w:rFonts w:ascii="Arial" w:cs="Arial" w:eastAsia="Arial" w:hAnsi="Arial"/>
          <w:sz w:val="24"/>
          <w:szCs w:val="24"/>
        </w:rPr>
        <w:t xml:space="preserve">3) прогнозный объем финансирования на текущий год, предназначенного для финансирования экономических проектов через долевое участие Фонда в совместных проектах с субъектами предпринимательства.</w:t>
      </w:r>
    </w:p>
    <w:p>
      <w:pPr>
        <w:spacing w:after="60"/>
        <w:ind w:firstLine="567"/>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марта текущего года.</w:t>
      </w:r>
    </w:p>
    <w:p>
      <w:pPr>
        <w:spacing w:after="60"/>
        <w:ind w:firstLine="567"/>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80. Кассовые расходы Фонда, смета расходов составляются, формируются и финансируются по статье 3111 "Здания и сооружения" и осуществляются по упрощенным казначейским процедурам в установленном Бюджетной классификацией Кыргызской Республики порядке.</w:t>
      </w:r>
    </w:p>
    <w:p>
      <w:pPr>
        <w:spacing w:after="60"/>
        <w:ind w:firstLine="567"/>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82.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60"/>
        <w:ind w:firstLine="567"/>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60"/>
        <w:ind w:firstLine="567"/>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60"/>
        <w:ind w:firstLine="567"/>
        <w:jc w:val="both"/>
      </w:pPr>
      <w:r>
        <w:rPr>
          <w:rFonts w:ascii="Arial" w:cs="Arial" w:eastAsia="Arial" w:hAnsi="Arial"/>
          <w:sz w:val="24"/>
          <w:szCs w:val="24"/>
        </w:rPr>
        <w:t xml:space="preserve">Финансирование экономических проектов через долевое участие Фонда осуществляется на основе двустороннего договора, подписанного между Фондом и субъектом предпринимательства.</w:t>
      </w:r>
    </w:p>
    <w:p>
      <w:pPr>
        <w:spacing w:after="60"/>
        <w:ind w:firstLine="567"/>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w:t>
      </w:r>
    </w:p>
    <w:p>
      <w:pPr>
        <w:spacing w:after="60"/>
        <w:ind w:firstLine="567"/>
        <w:jc w:val="both"/>
      </w:pPr>
      <w:r>
        <w:rPr>
          <w:rFonts w:ascii="Arial" w:cs="Arial" w:eastAsia="Arial" w:hAnsi="Arial"/>
          <w:sz w:val="24"/>
          <w:szCs w:val="24"/>
        </w:rPr>
        <w:t xml:space="preserve">86.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87.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200" w:before="200"/>
        <w:jc w:val="center"/>
      </w:pPr>
      <w:r>
        <w:rPr>
          <w:rFonts w:ascii="Arial" w:cs="Arial" w:eastAsia="Arial" w:hAnsi="Arial"/>
          <w:b/>
          <w:bCs/>
          <w:sz w:val="32"/>
          <w:szCs w:val="32"/>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200" w:before="200"/>
        <w:jc w:val="center"/>
      </w:pPr>
      <w:r>
        <w:rPr>
          <w:rFonts w:ascii="Arial" w:cs="Arial" w:eastAsia="Arial" w:hAnsi="Arial"/>
          <w:b/>
          <w:bCs/>
          <w:sz w:val="32"/>
          <w:szCs w:val="32"/>
        </w:rPr>
        <w:t xml:space="preserve">Глава 8. Особые условия</w:t>
      </w:r>
    </w:p>
    <w:p>
      <w:pPr>
        <w:spacing w:after="200" w:before="200"/>
        <w:jc w:val="center"/>
      </w:pPr>
      <w:r>
        <w:rPr>
          <w:rFonts w:ascii="Arial" w:cs="Arial" w:eastAsia="Arial" w:hAnsi="Arial"/>
          <w:b/>
          <w:bCs/>
          <w:sz w:val="32"/>
          <w:szCs w:val="32"/>
        </w:rPr>
        <w:t xml:space="preserve">§ 1. Условия оплаты труда работников Фондов развития регионов и их штатная численность</w:t>
      </w:r>
    </w:p>
    <w:p>
      <w:pPr>
        <w:spacing w:after="60"/>
        <w:ind w:firstLine="567"/>
        <w:jc w:val="both"/>
      </w:pPr>
      <w:r>
        <w:rPr>
          <w:rFonts w:ascii="Arial" w:cs="Arial" w:eastAsia="Arial" w:hAnsi="Arial"/>
          <w:sz w:val="24"/>
          <w:szCs w:val="24"/>
        </w:rPr>
        <w:t xml:space="preserve">95.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определяемый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60"/>
        <w:ind w:firstLine="567"/>
        <w:jc w:val="both"/>
      </w:pPr>
      <w:r>
        <w:rPr>
          <w:rFonts w:ascii="Arial" w:cs="Arial" w:eastAsia="Arial" w:hAnsi="Arial"/>
          <w:sz w:val="24"/>
          <w:szCs w:val="24"/>
        </w:rPr>
        <w:t xml:space="preserve">96.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60"/>
        <w:ind w:firstLine="567"/>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before="200"/>
        <w:ind w:firstLine="567"/>
        <w:jc w:val="both"/>
      </w:pPr>
      <w:r>
        <w:rPr>
          <w:rFonts w:ascii="Arial" w:cs="Arial" w:eastAsia="Arial" w:hAnsi="Arial"/>
          <w:b/>
          <w:bCs/>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432"/>
        <w:gridCol w:w="2089"/>
        <w:gridCol w:w="2089"/>
        <w:gridCol w:w="2089"/>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200"/>
        <w:ind w:firstLine="567"/>
        <w:jc w:val="both"/>
      </w:pPr>
      <w:r>
        <w:rPr>
          <w:rFonts w:ascii="Arial" w:cs="Arial" w:eastAsia="Arial" w:hAnsi="Arial"/>
          <w:b/>
          <w:bCs/>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4256"/>
        <w:gridCol w:w="5281"/>
      </w:tblGrid>
      <w:tr>
        <w:tc>
          <w:tcPr>
            <w:tcW w:type="dxa" w:w="6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5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before="200"/>
        <w:ind w:firstLine="567"/>
        <w:jc w:val="both"/>
      </w:pPr>
      <w:r>
        <w:rPr>
          <w:rFonts w:ascii="Arial" w:cs="Arial" w:eastAsia="Arial" w:hAnsi="Arial"/>
          <w:b/>
          <w:bCs/>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308"/>
        <w:gridCol w:w="1598"/>
        <w:gridCol w:w="1598"/>
        <w:gridCol w:w="1598"/>
        <w:gridCol w:w="1598"/>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jc w:val="both"/>
      </w:pPr>
      <w:r>
        <w:rPr>
          <w:rFonts w:ascii="Arial" w:cs="Arial" w:eastAsia="Arial" w:hAnsi="Arial"/>
          <w:sz w:val="24"/>
          <w:szCs w:val="24"/>
        </w:rPr>
        <w:t xml:space="preserve">(*) Примечание: штатная единица вводится Фондом при необходимости.</w:t>
      </w:r>
    </w:p>
    <w:p>
      <w:pPr>
        <w:spacing w:after="200" w:before="200"/>
        <w:jc w:val="center"/>
      </w:pPr>
      <w:r>
        <w:rPr>
          <w:rFonts w:ascii="Arial" w:cs="Arial" w:eastAsia="Arial" w:hAnsi="Arial"/>
          <w:b/>
          <w:bCs/>
          <w:sz w:val="32"/>
          <w:szCs w:val="32"/>
        </w:rPr>
        <w:t xml:space="preserve">§ 2. Порядок распределения средств из республиканского бюджета в Фонды развития регионов</w:t>
      </w:r>
    </w:p>
    <w:p>
      <w:pPr>
        <w:spacing w:after="60"/>
        <w:ind w:firstLine="567"/>
        <w:jc w:val="both"/>
      </w:pPr>
      <w:r>
        <w:rPr>
          <w:rFonts w:ascii="Arial" w:cs="Arial" w:eastAsia="Arial" w:hAnsi="Arial"/>
          <w:sz w:val="24"/>
          <w:szCs w:val="24"/>
        </w:rPr>
        <w:t xml:space="preserve">97. Распределение средств из республиканского бюджета осуществляется по двум группам:</w:t>
      </w:r>
    </w:p>
    <w:p>
      <w:pPr>
        <w:spacing w:after="60"/>
        <w:ind w:firstLine="567"/>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вопросам государственных финансов, прогнозирования и исполнения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60"/>
        <w:ind w:firstLine="567"/>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вопросам государственных финансов, прогнозирования и исполнения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15000000 (пятнадцать миллионов) сомов согласно таблице № 1.</w:t>
      </w:r>
    </w:p>
    <w:p>
      <w:pPr>
        <w:spacing w:after="120" w:before="200"/>
        <w:ind w:firstLine="567"/>
        <w:jc w:val="both"/>
      </w:pPr>
      <w:r>
        <w:rPr>
          <w:rFonts w:ascii="Arial" w:cs="Arial" w:eastAsia="Arial" w:hAnsi="Arial"/>
          <w:b/>
          <w:bCs/>
          <w:sz w:val="24"/>
          <w:szCs w:val="24"/>
        </w:rPr>
        <w:t xml:space="preserve">Таблица 1. Размеры средств, выделяемые районным Фондам из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7"/>
        <w:gridCol w:w="2793"/>
        <w:gridCol w:w="3418"/>
      </w:tblGrid>
      <w:tr>
        <w:tc>
          <w:tcPr>
            <w:tcW w:type="dxa" w:w="3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15000000 (пятнадцать миллионов) сомов)</w:t>
            </w:r>
          </w:p>
        </w:tc>
        <w:tc>
          <w:tcPr>
            <w:tcW w:type="dxa" w:w="2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98.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99. Уполномоченный государственный орган по вопросам государственных финансов, прогнозирования и исполнения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60"/>
        <w:ind w:firstLine="567"/>
        <w:jc w:val="both"/>
      </w:pPr>
      <w:r>
        <w:rPr>
          <w:rFonts w:ascii="Arial" w:cs="Arial" w:eastAsia="Arial" w:hAnsi="Arial"/>
          <w:sz w:val="24"/>
          <w:szCs w:val="24"/>
        </w:rPr>
        <w:t xml:space="preserve">100.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60"/>
        <w:ind w:firstLine="567"/>
        <w:jc w:val="both"/>
      </w:pPr>
      <w:r>
        <w:rPr>
          <w:rFonts w:ascii="Arial" w:cs="Arial" w:eastAsia="Arial" w:hAnsi="Arial"/>
          <w:sz w:val="24"/>
          <w:szCs w:val="24"/>
        </w:rPr>
        <w:t xml:space="preserve">101. Остатки средств из республиканского бюджета в Фондах по завершению текущего года возвращаются в республиканский бюджет.</w:t>
      </w:r>
    </w:p>
    <w:p>
      <w:pPr>
        <w:spacing w:after="60"/>
        <w:ind w:firstLine="567"/>
        <w:jc w:val="both"/>
      </w:pPr>
      <w:r>
        <w:rPr>
          <w:rFonts w:ascii="Arial" w:cs="Arial" w:eastAsia="Arial" w:hAnsi="Arial"/>
          <w:sz w:val="24"/>
          <w:szCs w:val="24"/>
        </w:rPr>
        <w:t xml:space="preserve">Утвержденные Наблюдательным советом Фонда в текущем году проекты, но непрофинансированные, должны быть учтены в годовом бюджете Фонда в планируемом году и профинансированы в первоочередном порядке.</w:t>
      </w:r>
    </w:p>
    <w:p>
      <w:pPr>
        <w:spacing w:after="200" w:before="200"/>
        <w:jc w:val="center"/>
      </w:pPr>
      <w:r>
        <w:rPr>
          <w:rFonts w:ascii="Arial" w:cs="Arial" w:eastAsia="Arial" w:hAnsi="Arial"/>
          <w:b/>
          <w:bCs/>
          <w:sz w:val="32"/>
          <w:szCs w:val="32"/>
        </w:rPr>
        <w:t xml:space="preserve">Глава 9. Конфликт интересов</w:t>
      </w:r>
    </w:p>
    <w:p>
      <w:pPr>
        <w:spacing w:after="60"/>
        <w:ind w:firstLine="567"/>
        <w:jc w:val="both"/>
      </w:pPr>
      <w:r>
        <w:rPr>
          <w:rFonts w:ascii="Arial" w:cs="Arial" w:eastAsia="Arial" w:hAnsi="Arial"/>
          <w:sz w:val="24"/>
          <w:szCs w:val="24"/>
        </w:rPr>
        <w:t xml:space="preserve">102.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jeouhfwyglewfjo1qjzx">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32"/>
          <w:szCs w:val="32"/>
        </w:rPr>
        <w:t xml:space="preserve">КРИТЕРИИ
 отбора социальных и инфраструктурных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учреждения/айылного аймака/города: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Значимость на территориальном уровне (социальный эффект)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Вовлеченность местного населения в определении необходимости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не проводилась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участием отдельных групп граждан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мобилизация проведена с широким охватом населения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Наличие технической документации для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полный перечень документов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соответствие технической документации требованиям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Подтвержденное софинансирование проекта из средств республиканского бюджета, местного бюджета, средств местного населения или бизнеса, международных организаций и иных источников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софинансирования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менее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софинансирование в размере более 50% от общей стоимости проекта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Участие инициатора проекта в виде предоставления материальных активов (например, земельного участка, здания и сооружения, оборудования и т.д.) и/или предоставление услуг, способствующих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отсутствует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составляет менее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более 50% от общего вклада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Айылный аймак или город, где планируется реализовать проект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получает выравнивающий грант из республиканского бюджета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xviqef9daw0lubupy8p6q">
        <w:r>
          <w:rPr>
            <w:rFonts w:ascii="Arial" w:cs="Arial" w:eastAsia="Arial" w:hAnsi="Arial"/>
            <w:color w:val="1D4ED8"/>
            <w:sz w:val="24"/>
            <w:szCs w:val="24"/>
            <w:u w:val="single"/>
          </w:rPr>
          <w:t xml:space="preserve">Приложение 5</w:t>
        </w:r>
      </w:hyperlink>
    </w:p>
    <w:p>
      <w:pPr>
        <w:spacing w:after="400" w:before="400"/>
        <w:jc w:val="center"/>
      </w:pPr>
      <w:r>
        <w:rPr>
          <w:rFonts w:ascii="Arial" w:cs="Arial" w:eastAsia="Arial" w:hAnsi="Arial"/>
          <w:b/>
          <w:bCs/>
          <w:sz w:val="32"/>
          <w:szCs w:val="32"/>
        </w:rPr>
        <w:t xml:space="preserve">КРИТЕРИИ
 отбора экономических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Район: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Программа социально-экономического развития области/района/города/айылного аймака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не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предусмотрена в программе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приоритетным направлениям:</w:t>
            </w:r>
          </w:p>
          <w:p>
            <w:pPr>
              <w:jc w:val="left"/>
            </w:pPr>
            <w:r>
              <w:rPr>
                <w:rFonts w:ascii="Arial" w:cs="Arial" w:eastAsia="Arial" w:hAnsi="Arial"/>
                <w:sz w:val="24"/>
                <w:szCs w:val="24"/>
              </w:rPr>
              <w:t xml:space="preserve">- все виды промышленной деятельности, в том числе легкая, пищевая и обрабатывающая промышленности;</w:t>
            </w:r>
          </w:p>
          <w:p>
            <w:pPr>
              <w:jc w:val="left"/>
            </w:pPr>
            <w:r>
              <w:rPr>
                <w:rFonts w:ascii="Arial" w:cs="Arial" w:eastAsia="Arial" w:hAnsi="Arial"/>
                <w:sz w:val="24"/>
                <w:szCs w:val="24"/>
              </w:rPr>
              <w:t xml:space="preserve">- энергетика;</w:t>
            </w:r>
          </w:p>
          <w:p>
            <w:pPr>
              <w:jc w:val="left"/>
            </w:pPr>
            <w:r>
              <w:rPr>
                <w:rFonts w:ascii="Arial" w:cs="Arial" w:eastAsia="Arial" w:hAnsi="Arial"/>
                <w:sz w:val="24"/>
                <w:szCs w:val="24"/>
              </w:rPr>
              <w:t xml:space="preserve">- туризм;</w:t>
            </w:r>
          </w:p>
          <w:p>
            <w:pPr>
              <w:jc w:val="left"/>
            </w:pPr>
            <w:r>
              <w:rPr>
                <w:rFonts w:ascii="Arial" w:cs="Arial" w:eastAsia="Arial" w:hAnsi="Arial"/>
                <w:sz w:val="24"/>
                <w:szCs w:val="24"/>
              </w:rPr>
              <w:t xml:space="preserve">- проекты в сфере продовольственной безопасности;</w:t>
            </w:r>
          </w:p>
          <w:p>
            <w:pPr>
              <w:jc w:val="left"/>
            </w:pPr>
            <w:r>
              <w:rPr>
                <w:rFonts w:ascii="Arial" w:cs="Arial" w:eastAsia="Arial" w:hAnsi="Arial"/>
                <w:sz w:val="24"/>
                <w:szCs w:val="24"/>
              </w:rPr>
              <w:t xml:space="preserve">- проекты в сфере креативной экономики, в том числе информационные технологии;</w:t>
            </w:r>
          </w:p>
          <w:p>
            <w:pPr>
              <w:jc w:val="left"/>
            </w:pPr>
            <w:r>
              <w:rPr>
                <w:rFonts w:ascii="Arial" w:cs="Arial" w:eastAsia="Arial" w:hAnsi="Arial"/>
                <w:sz w:val="24"/>
                <w:szCs w:val="24"/>
              </w:rPr>
              <w:t xml:space="preserve">- проекты в сфере зеленой экономики;</w:t>
            </w:r>
          </w:p>
          <w:p>
            <w:pPr>
              <w:jc w:val="left"/>
            </w:pPr>
            <w:r>
              <w:rPr>
                <w:rFonts w:ascii="Arial" w:cs="Arial" w:eastAsia="Arial" w:hAnsi="Arial"/>
                <w:sz w:val="24"/>
                <w:szCs w:val="24"/>
              </w:rPr>
              <w:t xml:space="preserve">- проекты в сферах образования и здравоохранения и социальной помощи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Заявитель является участником проекта "Одно село - один продукт"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Значимость на территориальном уровне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айылного аймака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района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области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значимость на уровне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Период экономической деятельности субъекта предпринимательства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лет и более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в том числе "стартап" проект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Количество ожидаемых рабочих мест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рабочих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Использование местного сырья при реализации проекта (закупки местных товаров и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Внедрение инновационных технологий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инноваций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улучшение деятельности конкретной организации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инновации повлияют на развитие данного сектора на территории региона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Приток иностранной валюты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будет способствовать притоку иностранной валюты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Развитие общественной инфраструктуры при реализации проекта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Реализация проекта на принципах государственно-частного партнерства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используется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Организация зарегистрирована на уроженца соответствующего района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приведет к ухудшению экологической ситуации в регионе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баллов: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
 (ФИО члена Наблюдательного совета Фонда)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
 (подпись)</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affbsj9qmxq7eanll_8">
      <w:r>
        <w:rPr>
          <w:rFonts w:ascii="Arial" w:cs="Arial" w:eastAsia="Arial" w:hAnsi="Arial"/>
          <w:color w:val="132D3F"/>
          <w:sz w:val="16"/>
          <w:szCs w:val="16"/>
          <w:u w:val="single"/>
        </w:rPr>
        <w:t xml:space="preserve">dalil.kg/document/160095</w:t>
      </w:r>
    </w:hyperlink>
  </w:p>
  <w:p>
    <w:pPr>
      <w:spacing w:after="0" w:before="40"/>
      <w:jc w:val="center"/>
    </w:pPr>
    <w:hyperlink w:history="1" r:id="rIds3hvna5wy2b0gz1fvia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daqckybw4x2yzkkhco-" Type="http://schemas.openxmlformats.org/officeDocument/2006/relationships/hyperlink" Target="https://dalil.kg/document/230014982" TargetMode="External"/><Relationship Id="rIdsogo4s5usdbv1fsiqoyfu" Type="http://schemas.openxmlformats.org/officeDocument/2006/relationships/hyperlink" Target="https://dalil.kg/document/160518" TargetMode="External"/><Relationship Id="rId7p7hvo6cs_nipqn2dp2j8" Type="http://schemas.openxmlformats.org/officeDocument/2006/relationships/hyperlink" Target="https://dalil.kg/document/434900" TargetMode="External"/><Relationship Id="rIdxrzyhspe5wssxf-c4dvwq" Type="http://schemas.openxmlformats.org/officeDocument/2006/relationships/hyperlink" Target="https://dalil.kg/document/111338#st_34" TargetMode="External"/><Relationship Id="rIdln3cutvr9ghwddgpjq2io" Type="http://schemas.openxmlformats.org/officeDocument/2006/relationships/hyperlink" Target="https://dalil.kg/document/112301#st_13" TargetMode="External"/><Relationship Id="rIdd3ryfitj61vx_yswp4dx-" Type="http://schemas.openxmlformats.org/officeDocument/2006/relationships/hyperlink" Target="https://dalil.kg/document/112301#st_17" TargetMode="External"/><Relationship Id="rIdjlhjhma28djtygqk5h4nc" Type="http://schemas.openxmlformats.org/officeDocument/2006/relationships/hyperlink" Target="https://dalil.kg/document/159858" TargetMode="External"/><Relationship Id="rIdf_tsh4o9nv6qnnr3ftyl_" Type="http://schemas.openxmlformats.org/officeDocument/2006/relationships/hyperlink" Target="https://dalil.kg/document/160518" TargetMode="External"/><Relationship Id="rIdbqkse9yrs7n6cikhtlnuj" Type="http://schemas.openxmlformats.org/officeDocument/2006/relationships/hyperlink" Target="https://dalil.kg/document/159858#pr4" TargetMode="External"/><Relationship Id="rIdu16k76xrlzlheefkdrz5y" Type="http://schemas.openxmlformats.org/officeDocument/2006/relationships/hyperlink" Target="https://dalil.kg/document/160095#pr2" TargetMode="External"/><Relationship Id="rIderjnmgincf8qmogqugogf" Type="http://schemas.openxmlformats.org/officeDocument/2006/relationships/hyperlink" Target="https://dalil.kg/document/159858#pr5" TargetMode="External"/><Relationship Id="rId8inkx2xo6ek-cbnkqokqn" Type="http://schemas.openxmlformats.org/officeDocument/2006/relationships/hyperlink" Target="https://dalil.kg/document/160095#pr3" TargetMode="External"/><Relationship Id="rId1lzkka3t6wh4rgphihp4a" Type="http://schemas.openxmlformats.org/officeDocument/2006/relationships/hyperlink" Target="https://dalil.kg/document/160518" TargetMode="External"/><Relationship Id="rIdlopp13golvvszfyiw5lbd" Type="http://schemas.openxmlformats.org/officeDocument/2006/relationships/hyperlink" Target="https://dalil.kg/document/159858#pr1" TargetMode="External"/><Relationship Id="rIdsoc1x2weifxokyyxefnwd" Type="http://schemas.openxmlformats.org/officeDocument/2006/relationships/hyperlink" Target="https://dalil.kg/document/111338" TargetMode="External"/><Relationship Id="rId6fzkrysutve_h3c6hy1yu" Type="http://schemas.openxmlformats.org/officeDocument/2006/relationships/hyperlink" Target="https://dalil.kg/document/111820" TargetMode="External"/><Relationship Id="rIdozckrx1ziajoauuesnkeq" Type="http://schemas.openxmlformats.org/officeDocument/2006/relationships/hyperlink" Target="https://dalil.kg/document/112361" TargetMode="External"/><Relationship Id="rIdbx390unbtsuwkaem6ol5s" Type="http://schemas.openxmlformats.org/officeDocument/2006/relationships/hyperlink" Target="https://dalil.kg/document/274" TargetMode="External"/><Relationship Id="rIdym9xi9mrl3nl4sflvsgok" Type="http://schemas.openxmlformats.org/officeDocument/2006/relationships/hyperlink" Target="https://dalil.kg/document/111820" TargetMode="External"/><Relationship Id="rIduvpmwzovgjyycr-h5rzis" Type="http://schemas.openxmlformats.org/officeDocument/2006/relationships/hyperlink" Target="https://dalil.kg/document/111338" TargetMode="External"/><Relationship Id="rIdzqij2qwmft3mrwggp_wwn" Type="http://schemas.openxmlformats.org/officeDocument/2006/relationships/hyperlink" Target="https://dalil.kg/document/112361" TargetMode="External"/><Relationship Id="rIdlcqzedt-fifk_tnhkmt3p" Type="http://schemas.openxmlformats.org/officeDocument/2006/relationships/hyperlink" Target="https://dalil.kg/document/112361" TargetMode="External"/><Relationship Id="rIdgq36xopromxbqrawtkzdi" Type="http://schemas.openxmlformats.org/officeDocument/2006/relationships/hyperlink" Target="https://dalil.kg/document/1505" TargetMode="External"/><Relationship Id="rId_mp4woknhcvrg8f9z26zn" Type="http://schemas.openxmlformats.org/officeDocument/2006/relationships/hyperlink" Target="https://dalil.kg/document/111820" TargetMode="External"/><Relationship Id="rId-jeouhfwyglewfjo1qjzx" Type="http://schemas.openxmlformats.org/officeDocument/2006/relationships/hyperlink" Target="https://dalil.kg/document/159858#pr4" TargetMode="External"/><Relationship Id="rIdxviqef9daw0lubupy8p6q" Type="http://schemas.openxmlformats.org/officeDocument/2006/relationships/hyperlink" Target="https://dalil.kg/document/159858#pr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affbsj9qmxq7eanll_8" Type="http://schemas.openxmlformats.org/officeDocument/2006/relationships/hyperlink" Target="https://dalil.kg/document/160095" TargetMode="External"/><Relationship Id="rIds3hvna5wy2b0gz1fvia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2026-09-24T21:13:12.507Z</dcterms:created>
  <dcterms:modified xsi:type="dcterms:W3CDTF">2026-09-24T21:13:12.507Z</dcterms:modified>
</cp:coreProperties>
</file>

<file path=docProps/custom.xml><?xml version="1.0" encoding="utf-8"?>
<Properties xmlns="http://schemas.openxmlformats.org/officeDocument/2006/custom-properties" xmlns:vt="http://schemas.openxmlformats.org/officeDocument/2006/docPropsVTypes"/>
</file>