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5 апреля 2023 года № 186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Кабинета Министров Кыргызской Республики "О Регламенте Кабинета Министров Кыргызской Республики" от 28 октября 2021 года № 233</w:t>
      </w:r>
    </w:p>
    <w:p>
      <w:pPr>
        <w:spacing w:after="120"/>
        <w:jc w:val="both"/>
      </w:pPr>
      <w:r>
        <w:rPr>
          <w:rFonts w:ascii="Arial" w:cs="Arial" w:eastAsia="Arial" w:hAnsi="Arial"/>
          <w:sz w:val="24"/>
          <w:szCs w:val="24"/>
        </w:rPr>
        <w:t xml:space="preserve">В соответствии со </w:t>
      </w:r>
      <w:hyperlink w:history="1" r:id="rIdodlwnl3rgpxos0vygdwmh">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x8ae8n05jt8coielc9d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w:t>
      </w:r>
      <w:hyperlink w:history="1" r:id="rIdfizzapevmj9n4lznj-md9">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sfns5t5gih6vbgawinmes">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утвержденном вышеуказанным </w:t>
      </w:r>
      <w:hyperlink w:history="1" r:id="rIdmzhs-0xukebo0aofe_el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первое предложение абзаца первого пункта 9 изложить в следующей редакции: "Проекты законов и иных нормативных правовых актов (актов), а также другие документы могут вноситься на рассмотрение в Кабинет Министров Президентом, членами Кабинета Министров, первыми руководителями административных ведомств, иных государственных органов, мэрами городов Бишкек и Ош, а также руководителями структурных подразделений Администрации Президента.";</w:t>
      </w:r>
    </w:p>
    <w:p>
      <w:pPr>
        <w:spacing w:after="120"/>
        <w:jc w:val="both"/>
      </w:pPr>
      <w:r>
        <w:rPr>
          <w:rFonts w:ascii="Arial" w:cs="Arial" w:eastAsia="Arial" w:hAnsi="Arial"/>
          <w:sz w:val="24"/>
          <w:szCs w:val="24"/>
        </w:rPr>
        <w:t xml:space="preserve">- пункт 13 дополнить абзацами следующего содержания:</w:t>
      </w:r>
    </w:p>
    <w:p>
      <w:pPr>
        <w:spacing w:after="120"/>
        <w:jc w:val="both"/>
      </w:pPr>
      <w:r>
        <w:rPr>
          <w:rFonts w:ascii="Arial" w:cs="Arial" w:eastAsia="Arial" w:hAnsi="Arial"/>
          <w:sz w:val="24"/>
          <w:szCs w:val="24"/>
        </w:rPr>
        <w:t xml:space="preserve">"Проекты актов Кабинета Министров, вносимые в Администрацию Президента государственными органами и исполнительными органами местного самоуправления в рамках делегированных им отдельных нормотворческих полномочий Кабинета Министров, Администрацией Президента не рассматриваются и подлежат возврату.</w:t>
      </w:r>
    </w:p>
    <w:p>
      <w:pPr>
        <w:spacing w:after="120"/>
        <w:jc w:val="both"/>
      </w:pPr>
      <w:r>
        <w:rPr>
          <w:rFonts w:ascii="Arial" w:cs="Arial" w:eastAsia="Arial" w:hAnsi="Arial"/>
          <w:sz w:val="24"/>
          <w:szCs w:val="24"/>
        </w:rPr>
        <w:t xml:space="preserve">Обращения государственных органов и органов местного самоуправления с просьбами об оказании содействия в оперативном согласовании проектов решений (актов) с государственными органами и органами местного самоуправления Администрацией Президента не рассматриваются и подлежат возврату, за исключением случаев, требующих безотлагательного решения.</w:t>
      </w:r>
    </w:p>
    <w:p>
      <w:pPr>
        <w:spacing w:after="120"/>
        <w:jc w:val="both"/>
      </w:pPr>
      <w:r>
        <w:rPr>
          <w:rFonts w:ascii="Arial" w:cs="Arial" w:eastAsia="Arial" w:hAnsi="Arial"/>
          <w:sz w:val="24"/>
          <w:szCs w:val="24"/>
        </w:rPr>
        <w:t xml:space="preserve">Случаями, требующими безотлагательного решения, являются вопросы предупреждения и ликвидации последствий чрезвычайных ситуаций, вопросы, касающиеся обеспечения режима чрезвычайного и/или военного положения, вводимого на всей территории Кыргызской Республики либо в отдельных ее местностях, а также вопросы, определяемые поручением Президента, Председателя Кабинета Министров и заместителей Председателя Кабинета Министров.";</w:t>
      </w:r>
    </w:p>
    <w:p>
      <w:pPr>
        <w:spacing w:after="120"/>
        <w:jc w:val="both"/>
      </w:pPr>
      <w:r>
        <w:rPr>
          <w:rFonts w:ascii="Arial" w:cs="Arial" w:eastAsia="Arial" w:hAnsi="Arial"/>
          <w:sz w:val="24"/>
          <w:szCs w:val="24"/>
        </w:rPr>
        <w:t xml:space="preserve">- дополнить пунктом 29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"29</w:t>
      </w:r>
      <w:r>
        <w:rPr>
          <w:rFonts w:ascii="Arial" w:cs="Arial" w:eastAsia="Arial" w:hAnsi="Arial"/>
          <w:sz w:val="24"/>
          <w:szCs w:val="24"/>
        </w:rPr>
        <w:t xml:space="preserve">1</w:t>
      </w:r>
      <w:r>
        <w:rPr>
          <w:rFonts w:ascii="Arial" w:cs="Arial" w:eastAsia="Arial" w:hAnsi="Arial"/>
          <w:sz w:val="24"/>
          <w:szCs w:val="24"/>
        </w:rPr>
        <w:t xml:space="preserve">. В соответствии с </w:t>
      </w:r>
      <w:hyperlink w:history="1" r:id="rIdsd4emysb1galda4dflsd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по предложению уполномоченного государственного органа в сфере финансов Председателем Кабинета Министров утверждается заключение о затруднении в бюджетном регулировании, которое подлежит внесению на рассмотрение Жогорку Кенеша в срочном порядке.";</w:t>
      </w:r>
    </w:p>
    <w:p>
      <w:pPr>
        <w:spacing w:after="120"/>
        <w:jc w:val="both"/>
      </w:pPr>
      <w:r>
        <w:rPr>
          <w:rFonts w:ascii="Arial" w:cs="Arial" w:eastAsia="Arial" w:hAnsi="Arial"/>
          <w:sz w:val="24"/>
          <w:szCs w:val="24"/>
        </w:rPr>
        <w:t xml:space="preserve">- пункт 36 дополнить абзацем четвертым следующего содержания:</w:t>
      </w:r>
    </w:p>
    <w:p>
      <w:pPr>
        <w:spacing w:after="120"/>
        <w:jc w:val="both"/>
      </w:pPr>
      <w:r>
        <w:rPr>
          <w:rFonts w:ascii="Arial" w:cs="Arial" w:eastAsia="Arial" w:hAnsi="Arial"/>
          <w:sz w:val="24"/>
          <w:szCs w:val="24"/>
        </w:rPr>
        <w:t xml:space="preserve">"Заседания Кабинета Министров могут проводиться в режиме онлайн, с использованием цифровых платформ председательствующим и членами Кабинета Министров, а также руководителями иных государственных органов.";</w:t>
      </w:r>
    </w:p>
    <w:p>
      <w:pPr>
        <w:spacing w:after="120"/>
        <w:jc w:val="both"/>
      </w:pPr>
      <w:r>
        <w:rPr>
          <w:rFonts w:ascii="Arial" w:cs="Arial" w:eastAsia="Arial" w:hAnsi="Arial"/>
          <w:sz w:val="24"/>
          <w:szCs w:val="24"/>
        </w:rPr>
        <w:t xml:space="preserve">- пункт 54</w:t>
      </w:r>
      <w:r>
        <w:rPr>
          <w:rFonts w:ascii="Arial" w:cs="Arial" w:eastAsia="Arial" w:hAnsi="Arial"/>
          <w:sz w:val="24"/>
          <w:szCs w:val="24"/>
        </w:rPr>
        <w:t xml:space="preserve">2</w:t>
      </w:r>
      <w:r>
        <w:rPr>
          <w:rFonts w:ascii="Arial" w:cs="Arial" w:eastAsia="Arial" w:hAnsi="Arial"/>
          <w:sz w:val="24"/>
          <w:szCs w:val="24"/>
        </w:rPr>
        <w:t xml:space="preserve"> дополнить абзацами вторым, третьим следующего содержания:</w:t>
      </w:r>
    </w:p>
    <w:p>
      <w:pPr>
        <w:spacing w:after="120"/>
        <w:jc w:val="both"/>
      </w:pPr>
      <w:r>
        <w:rPr>
          <w:rFonts w:ascii="Arial" w:cs="Arial" w:eastAsia="Arial" w:hAnsi="Arial"/>
          <w:sz w:val="24"/>
          <w:szCs w:val="24"/>
        </w:rPr>
        <w:t xml:space="preserve">"Письма о согласовании проекта, представленные по истечении четырех месяцев со дня их подписания, рассмотрению не подлежат, за исключением проектов актов о ратификации или денонсации международных договоров.</w:t>
      </w:r>
    </w:p>
    <w:p>
      <w:pPr>
        <w:spacing w:after="120"/>
        <w:jc w:val="both"/>
      </w:pPr>
      <w:r>
        <w:rPr>
          <w:rFonts w:ascii="Arial" w:cs="Arial" w:eastAsia="Arial" w:hAnsi="Arial"/>
          <w:sz w:val="24"/>
          <w:szCs w:val="24"/>
        </w:rPr>
        <w:t xml:space="preserve">Проекты актов, к которым имеются неучтенные замечания Министерства финансов в части отсутствия источников финансирования, рассмотрению не подлежат, за исключением проектов решений, разработанных в соответствии с поручением Президента или руководства Кабинета Министров.";</w:t>
      </w:r>
    </w:p>
    <w:p>
      <w:pPr>
        <w:spacing w:after="120"/>
        <w:jc w:val="both"/>
      </w:pPr>
      <w:r>
        <w:rPr>
          <w:rFonts w:ascii="Arial" w:cs="Arial" w:eastAsia="Arial" w:hAnsi="Arial"/>
          <w:sz w:val="24"/>
          <w:szCs w:val="24"/>
        </w:rPr>
        <w:t xml:space="preserve">- в пункте 54</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"Проекты законов, актов Кабинета Министров, вносимые на согласование, могут быть представлены в электронном виде посредством системы электронного документооборота, с условием использования электронной цифровой подписи на сопроводительном письме к вносимому на согласование проекту.";</w:t>
      </w:r>
    </w:p>
    <w:p>
      <w:pPr>
        <w:spacing w:after="120"/>
        <w:jc w:val="both"/>
      </w:pPr>
      <w:r>
        <w:rPr>
          <w:rFonts w:ascii="Arial" w:cs="Arial" w:eastAsia="Arial" w:hAnsi="Arial"/>
          <w:sz w:val="24"/>
          <w:szCs w:val="24"/>
        </w:rPr>
        <w:t xml:space="preserve">дополнить абзацем следующего содержания:</w:t>
      </w:r>
    </w:p>
    <w:p>
      <w:pPr>
        <w:spacing w:after="120"/>
        <w:jc w:val="both"/>
      </w:pPr>
      <w:r>
        <w:rPr>
          <w:rFonts w:ascii="Arial" w:cs="Arial" w:eastAsia="Arial" w:hAnsi="Arial"/>
          <w:sz w:val="24"/>
          <w:szCs w:val="24"/>
        </w:rPr>
        <w:t xml:space="preserve">"При этом одним сопроводительным письмом на согласование в государственные органы может быть представлен только один проект акта.";</w:t>
      </w:r>
    </w:p>
    <w:p>
      <w:pPr>
        <w:spacing w:after="120"/>
        <w:jc w:val="both"/>
      </w:pPr>
      <w:r>
        <w:rPr>
          <w:rFonts w:ascii="Arial" w:cs="Arial" w:eastAsia="Arial" w:hAnsi="Arial"/>
          <w:sz w:val="24"/>
          <w:szCs w:val="24"/>
        </w:rPr>
        <w:t xml:space="preserve">- абзац девятый пункта 54</w:t>
      </w:r>
      <w:r>
        <w:rPr>
          <w:rFonts w:ascii="Arial" w:cs="Arial" w:eastAsia="Arial" w:hAnsi="Arial"/>
          <w:sz w:val="24"/>
          <w:szCs w:val="24"/>
        </w:rPr>
        <w:t xml:space="preserve">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"При необходимости срочного принятия актов Кабинета Министров по поручению Президента, Председателя Кабинета Министров, заместителей Председателя Кабинета Министров и начальников управлений Администрации Президента проект акта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120"/>
        <w:jc w:val="both"/>
      </w:pPr>
      <w:r>
        <w:rPr>
          <w:rFonts w:ascii="Arial" w:cs="Arial" w:eastAsia="Arial" w:hAnsi="Arial"/>
          <w:sz w:val="24"/>
          <w:szCs w:val="24"/>
        </w:rPr>
        <w:t xml:space="preserve">- в пункте 54</w:t>
      </w:r>
      <w:r>
        <w:rPr>
          <w:rFonts w:ascii="Arial" w:cs="Arial" w:eastAsia="Arial" w:hAnsi="Arial"/>
          <w:sz w:val="24"/>
          <w:szCs w:val="24"/>
        </w:rPr>
        <w:t xml:space="preserve">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дополнить предложением четвертым следующего содержания: "Согласование проектов актов лицами, исполняющими обязанности первых руководителей государственных органов, считается согласованием как позиции государственного органа и не может считаться как согласование члена Кабинета Министров.";</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"По результатам согласования инициатор проекта закона, акта Кабинета Министров вправе доработать проект с учетом поступивших замечаний и предложений или не учитывать их либо приостановить дальнейшее продвижение проекта. Информация об учтенных и неучтенных замечаниях и предложениях по проектам законов, актов Кабинета Министров и обоснование причин их неучета отражаются в сводной таблице.";</w:t>
      </w:r>
    </w:p>
    <w:p>
      <w:pPr>
        <w:spacing w:after="120"/>
        <w:jc w:val="both"/>
      </w:pPr>
      <w:r>
        <w:rPr>
          <w:rFonts w:ascii="Arial" w:cs="Arial" w:eastAsia="Arial" w:hAnsi="Arial"/>
          <w:sz w:val="24"/>
          <w:szCs w:val="24"/>
        </w:rPr>
        <w:t xml:space="preserve">- в пункте 54</w:t>
      </w:r>
      <w:r>
        <w:rPr>
          <w:rFonts w:ascii="Arial" w:cs="Arial" w:eastAsia="Arial" w:hAnsi="Arial"/>
          <w:sz w:val="24"/>
          <w:szCs w:val="24"/>
        </w:rPr>
        <w:t xml:space="preserve">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абзацы первый, второй изложить в следующей редакции:</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7</w:t>
      </w:r>
      <w:r>
        <w:rPr>
          <w:rFonts w:ascii="Arial" w:cs="Arial" w:eastAsia="Arial" w:hAnsi="Arial"/>
          <w:sz w:val="24"/>
          <w:szCs w:val="24"/>
        </w:rPr>
        <w:t xml:space="preserve">. Проекты актов Кабинета Министров,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120"/>
        <w:jc w:val="both"/>
      </w:pPr>
      <w:r>
        <w:rPr>
          <w:rFonts w:ascii="Arial" w:cs="Arial" w:eastAsia="Arial" w:hAnsi="Arial"/>
          <w:sz w:val="24"/>
          <w:szCs w:val="24"/>
        </w:rPr>
        <w:t xml:space="preserve">- оригинал сопроводительного письма на имя Председателя Кабинета Министров или курирующего заместителя Председателя Кабинета Министров, подписанного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"информацию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120"/>
        <w:jc w:val="both"/>
      </w:pPr>
      <w:r>
        <w:rPr>
          <w:rFonts w:ascii="Arial" w:cs="Arial" w:eastAsia="Arial" w:hAnsi="Arial"/>
          <w:sz w:val="24"/>
          <w:szCs w:val="24"/>
        </w:rPr>
        <w:t xml:space="preserve">дополнить абзацем девятым следующего содержания:</w:t>
      </w:r>
    </w:p>
    <w:p>
      <w:pPr>
        <w:spacing w:after="120"/>
        <w:jc w:val="both"/>
      </w:pPr>
      <w:r>
        <w:rPr>
          <w:rFonts w:ascii="Arial" w:cs="Arial" w:eastAsia="Arial" w:hAnsi="Arial"/>
          <w:sz w:val="24"/>
          <w:szCs w:val="24"/>
        </w:rPr>
        <w:t xml:space="preserve">"- сводная таблица, подписанная первым руководителем государственного органа или лицом, исполняющим его обязанности, с указанием в ней всех учтенных и неучтенных замечаний и предложений, а также отметки о том, что проект согласован без замечаний и предложений;";</w:t>
      </w:r>
    </w:p>
    <w:p>
      <w:pPr>
        <w:spacing w:after="120"/>
        <w:jc w:val="both"/>
      </w:pPr>
      <w:r>
        <w:rPr>
          <w:rFonts w:ascii="Arial" w:cs="Arial" w:eastAsia="Arial" w:hAnsi="Arial"/>
          <w:sz w:val="24"/>
          <w:szCs w:val="24"/>
        </w:rPr>
        <w:t xml:space="preserve">- в пункте 54</w:t>
      </w:r>
      <w:r>
        <w:rPr>
          <w:rFonts w:ascii="Arial" w:cs="Arial" w:eastAsia="Arial" w:hAnsi="Arial"/>
          <w:sz w:val="24"/>
          <w:szCs w:val="24"/>
        </w:rPr>
        <w:t xml:space="preserve">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после слов "электронном носителях" дополнить словами ", в том числе посредством системы электронного документооборота";</w:t>
      </w:r>
    </w:p>
    <w:p>
      <w:pPr>
        <w:spacing w:after="120"/>
        <w:jc w:val="both"/>
      </w:pPr>
      <w:r>
        <w:rPr>
          <w:rFonts w:ascii="Arial" w:cs="Arial" w:eastAsia="Arial" w:hAnsi="Arial"/>
          <w:sz w:val="24"/>
          <w:szCs w:val="24"/>
        </w:rPr>
        <w:t xml:space="preserve">предложение первое абзаца второго изложить в следующей редакции: "Проекты актов Кабинета Министров должны быть запарафированы (подписаны) в бумажном виде и посредством системы электронного документооборота руководителем государственного органа или лицом, исполняющим его обязанности, с указанием ФИО и даты.";</w:t>
      </w:r>
    </w:p>
    <w:p>
      <w:pPr>
        <w:spacing w:after="120"/>
        <w:jc w:val="both"/>
      </w:pPr>
      <w:r>
        <w:rPr>
          <w:rFonts w:ascii="Arial" w:cs="Arial" w:eastAsia="Arial" w:hAnsi="Arial"/>
          <w:sz w:val="24"/>
          <w:szCs w:val="24"/>
        </w:rPr>
        <w:t xml:space="preserve">дополнить абзацем следующего содержания:</w:t>
      </w:r>
    </w:p>
    <w:p>
      <w:pPr>
        <w:spacing w:after="120"/>
        <w:jc w:val="both"/>
      </w:pPr>
      <w:r>
        <w:rPr>
          <w:rFonts w:ascii="Arial" w:cs="Arial" w:eastAsia="Arial" w:hAnsi="Arial"/>
          <w:sz w:val="24"/>
          <w:szCs w:val="24"/>
        </w:rPr>
        <w:t xml:space="preserve">"Сводная таблица к проектам актов по учтенным и неучтенным замечаниям и предложениям составляется на государственном или официальном языках.";</w:t>
      </w:r>
    </w:p>
    <w:p>
      <w:pPr>
        <w:spacing w:after="120"/>
        <w:jc w:val="both"/>
      </w:pPr>
      <w:r>
        <w:rPr>
          <w:rFonts w:ascii="Arial" w:cs="Arial" w:eastAsia="Arial" w:hAnsi="Arial"/>
          <w:sz w:val="24"/>
          <w:szCs w:val="24"/>
        </w:rPr>
        <w:t xml:space="preserve">- пункт 54</w:t>
      </w:r>
      <w:r>
        <w:rPr>
          <w:rFonts w:ascii="Arial" w:cs="Arial" w:eastAsia="Arial" w:hAnsi="Arial"/>
          <w:sz w:val="24"/>
          <w:szCs w:val="24"/>
        </w:rPr>
        <w:t xml:space="preserve">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9</w:t>
      </w:r>
      <w:r>
        <w:rPr>
          <w:rFonts w:ascii="Arial" w:cs="Arial" w:eastAsia="Arial" w:hAnsi="Arial"/>
          <w:sz w:val="24"/>
          <w:szCs w:val="24"/>
        </w:rPr>
        <w:t xml:space="preserve">. Документы, внесенные с нарушением требований, установленных пунктами 9, 54</w:t>
      </w:r>
      <w:r>
        <w:rPr>
          <w:rFonts w:ascii="Arial" w:cs="Arial" w:eastAsia="Arial" w:hAnsi="Arial"/>
          <w:sz w:val="24"/>
          <w:szCs w:val="24"/>
        </w:rPr>
        <w:t xml:space="preserve">1</w:t>
      </w:r>
      <w:r>
        <w:rPr>
          <w:rFonts w:ascii="Arial" w:cs="Arial" w:eastAsia="Arial" w:hAnsi="Arial"/>
          <w:sz w:val="24"/>
          <w:szCs w:val="24"/>
        </w:rPr>
        <w:t xml:space="preserve">, 54</w:t>
      </w:r>
      <w:r>
        <w:rPr>
          <w:rFonts w:ascii="Arial" w:cs="Arial" w:eastAsia="Arial" w:hAnsi="Arial"/>
          <w:sz w:val="24"/>
          <w:szCs w:val="24"/>
        </w:rPr>
        <w:t xml:space="preserve">2</w:t>
      </w:r>
      <w:r>
        <w:rPr>
          <w:rFonts w:ascii="Arial" w:cs="Arial" w:eastAsia="Arial" w:hAnsi="Arial"/>
          <w:sz w:val="24"/>
          <w:szCs w:val="24"/>
        </w:rPr>
        <w:t xml:space="preserve">, 54</w:t>
      </w:r>
      <w:r>
        <w:rPr>
          <w:rFonts w:ascii="Arial" w:cs="Arial" w:eastAsia="Arial" w:hAnsi="Arial"/>
          <w:sz w:val="24"/>
          <w:szCs w:val="24"/>
        </w:rPr>
        <w:t xml:space="preserve">7</w:t>
      </w:r>
      <w:r>
        <w:rPr>
          <w:rFonts w:ascii="Arial" w:cs="Arial" w:eastAsia="Arial" w:hAnsi="Arial"/>
          <w:sz w:val="24"/>
          <w:szCs w:val="24"/>
        </w:rPr>
        <w:t xml:space="preserve">, 54</w:t>
      </w:r>
      <w:r>
        <w:rPr>
          <w:rFonts w:ascii="Arial" w:cs="Arial" w:eastAsia="Arial" w:hAnsi="Arial"/>
          <w:sz w:val="24"/>
          <w:szCs w:val="24"/>
        </w:rPr>
        <w:t xml:space="preserve">8</w:t>
      </w:r>
      <w:r>
        <w:rPr>
          <w:rFonts w:ascii="Arial" w:cs="Arial" w:eastAsia="Arial" w:hAnsi="Arial"/>
          <w:sz w:val="24"/>
          <w:szCs w:val="24"/>
        </w:rPr>
        <w:t xml:space="preserve">, 63, 64 настоящего Регламента, возвращаются без рассмотрения соответствующим структурным подразделением Администрации Президента, в компетенцию которого входят вопросы соблюдения требований Регламента, с обоснованием причин возврата.";</w:t>
      </w:r>
    </w:p>
    <w:p>
      <w:pPr>
        <w:spacing w:after="120"/>
        <w:jc w:val="both"/>
      </w:pPr>
      <w:r>
        <w:rPr>
          <w:rFonts w:ascii="Arial" w:cs="Arial" w:eastAsia="Arial" w:hAnsi="Arial"/>
          <w:sz w:val="24"/>
          <w:szCs w:val="24"/>
        </w:rPr>
        <w:t xml:space="preserve">- в пункте 63:</w:t>
      </w:r>
    </w:p>
    <w:p>
      <w:pPr>
        <w:spacing w:after="120"/>
        <w:jc w:val="both"/>
      </w:pPr>
      <w:r>
        <w:rPr>
          <w:rFonts w:ascii="Arial" w:cs="Arial" w:eastAsia="Arial" w:hAnsi="Arial"/>
          <w:sz w:val="24"/>
          <w:szCs w:val="24"/>
        </w:rPr>
        <w:t xml:space="preserve">абзацы первый, второй изложить в следующей редакции:</w:t>
      </w:r>
    </w:p>
    <w:p>
      <w:pPr>
        <w:spacing w:after="120"/>
        <w:jc w:val="both"/>
      </w:pPr>
      <w:r>
        <w:rPr>
          <w:rFonts w:ascii="Arial" w:cs="Arial" w:eastAsia="Arial" w:hAnsi="Arial"/>
          <w:sz w:val="24"/>
          <w:szCs w:val="24"/>
        </w:rPr>
        <w:t xml:space="preserve">"63. Проекты законов,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120"/>
        <w:jc w:val="both"/>
      </w:pPr>
      <w:r>
        <w:rPr>
          <w:rFonts w:ascii="Arial" w:cs="Arial" w:eastAsia="Arial" w:hAnsi="Arial"/>
          <w:sz w:val="24"/>
          <w:szCs w:val="24"/>
        </w:rPr>
        <w:t xml:space="preserve">- оригинал сопроводительного письма на имя Председателя Кабинета Министров или курирующего заместителя Председателя Кабинета Министров, подписанного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120"/>
        <w:jc w:val="both"/>
      </w:pPr>
      <w:r>
        <w:rPr>
          <w:rFonts w:ascii="Arial" w:cs="Arial" w:eastAsia="Arial" w:hAnsi="Arial"/>
          <w:sz w:val="24"/>
          <w:szCs w:val="24"/>
        </w:rPr>
        <w:t xml:space="preserve">дополнить абзацем шестым следующего содержания:</w:t>
      </w:r>
    </w:p>
    <w:p>
      <w:pPr>
        <w:spacing w:after="120"/>
        <w:jc w:val="both"/>
      </w:pPr>
      <w:r>
        <w:rPr>
          <w:rFonts w:ascii="Arial" w:cs="Arial" w:eastAsia="Arial" w:hAnsi="Arial"/>
          <w:sz w:val="24"/>
          <w:szCs w:val="24"/>
        </w:rPr>
        <w:t xml:space="preserve">"информацию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120"/>
        <w:jc w:val="both"/>
      </w:pPr>
      <w:r>
        <w:rPr>
          <w:rFonts w:ascii="Arial" w:cs="Arial" w:eastAsia="Arial" w:hAnsi="Arial"/>
          <w:sz w:val="24"/>
          <w:szCs w:val="24"/>
        </w:rPr>
        <w:t xml:space="preserve">дополнить абзацем десятым следующего содержания:</w:t>
      </w:r>
    </w:p>
    <w:p>
      <w:pPr>
        <w:spacing w:after="120"/>
        <w:jc w:val="both"/>
      </w:pPr>
      <w:r>
        <w:rPr>
          <w:rFonts w:ascii="Arial" w:cs="Arial" w:eastAsia="Arial" w:hAnsi="Arial"/>
          <w:sz w:val="24"/>
          <w:szCs w:val="24"/>
        </w:rPr>
        <w:t xml:space="preserve">"- сводная таблица, подписанная первым руководителем государственного органа или лицом, исполняющим его обязанности, с указанием в ней всех учтенных и неучтенных замечаний и предложений, а также отметки о том, что проект согласован без замечаний и предложений;";</w:t>
      </w:r>
    </w:p>
    <w:p>
      <w:pPr>
        <w:spacing w:after="120"/>
        <w:jc w:val="both"/>
      </w:pPr>
      <w:r>
        <w:rPr>
          <w:rFonts w:ascii="Arial" w:cs="Arial" w:eastAsia="Arial" w:hAnsi="Arial"/>
          <w:sz w:val="24"/>
          <w:szCs w:val="24"/>
        </w:rPr>
        <w:t xml:space="preserve">дополнить абзацем двенадцатым следующего содержания:</w:t>
      </w:r>
    </w:p>
    <w:p>
      <w:pPr>
        <w:spacing w:after="120"/>
        <w:jc w:val="both"/>
      </w:pPr>
      <w:r>
        <w:rPr>
          <w:rFonts w:ascii="Arial" w:cs="Arial" w:eastAsia="Arial" w:hAnsi="Arial"/>
          <w:sz w:val="24"/>
          <w:szCs w:val="24"/>
        </w:rPr>
        <w:t xml:space="preserve">"- проекты законов, вытекающие из вносимого проекта закона (пакет проектов законов).";</w:t>
      </w:r>
    </w:p>
    <w:p>
      <w:pPr>
        <w:spacing w:after="120"/>
        <w:jc w:val="both"/>
      </w:pPr>
      <w:r>
        <w:rPr>
          <w:rFonts w:ascii="Arial" w:cs="Arial" w:eastAsia="Arial" w:hAnsi="Arial"/>
          <w:sz w:val="24"/>
          <w:szCs w:val="24"/>
        </w:rPr>
        <w:t xml:space="preserve">- предложения первое-третье пункта 64 изложить в следующей редакции: "Проекты законов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в том числе посредством системы электронного документооборота. Проекты законов и сопроводительные документы должны быть отпечатаны шрифтом "Times New Roman", размером 14, через 1 интервал. Проекты законов должны быть запарафированы (подписаны) в бумажном виде и посредством системы электронного документооборота руководителем государственного органа или лицом, исполняющим его обязанности, с указанием ФИО и даты.";</w:t>
      </w:r>
    </w:p>
    <w:p>
      <w:pPr>
        <w:spacing w:after="120"/>
        <w:jc w:val="both"/>
      </w:pPr>
      <w:r>
        <w:rPr>
          <w:rFonts w:ascii="Arial" w:cs="Arial" w:eastAsia="Arial" w:hAnsi="Arial"/>
          <w:sz w:val="24"/>
          <w:szCs w:val="24"/>
        </w:rPr>
        <w:t xml:space="preserve">- </w:t>
      </w:r>
      <w:hyperlink w:history="1" r:id="rId-wrtg2eunofzgze4xeopj">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дополнить пунктом 78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"78</w:t>
      </w:r>
      <w:r>
        <w:rPr>
          <w:rFonts w:ascii="Arial" w:cs="Arial" w:eastAsia="Arial" w:hAnsi="Arial"/>
          <w:sz w:val="24"/>
          <w:szCs w:val="24"/>
        </w:rPr>
        <w:t xml:space="preserve">1</w:t>
      </w:r>
      <w:r>
        <w:rPr>
          <w:rFonts w:ascii="Arial" w:cs="Arial" w:eastAsia="Arial" w:hAnsi="Arial"/>
          <w:sz w:val="24"/>
          <w:szCs w:val="24"/>
        </w:rPr>
        <w:t xml:space="preserve">. В соответствии с </w:t>
      </w:r>
      <w:hyperlink w:history="1" r:id="rIdebuqq9kcs1o__spc55vm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законодательное предложение Кабинету Министров о необходимости разработки проекта закона и иных нормативных правовых актов разрабатывается Кабинетом Министров в месячный срок со дня поступления таких предложений и подлежит внесению в установленном порядке на рассмотрение в Жогорку Кенеш.</w:t>
      </w:r>
    </w:p>
    <w:p>
      <w:pPr>
        <w:spacing w:after="120"/>
        <w:jc w:val="both"/>
      </w:pPr>
      <w:r>
        <w:rPr>
          <w:rFonts w:ascii="Arial" w:cs="Arial" w:eastAsia="Arial" w:hAnsi="Arial"/>
          <w:sz w:val="24"/>
          <w:szCs w:val="24"/>
        </w:rPr>
        <w:t xml:space="preserve">В случае отсутствия необходимости и целесообразности реализации законодательного предложения Кабинет Министров в месячный срок предоставляет инициатору законодательного предложения мотивированный ответ, подписанный Председателем Кабинета Министров или его заместителями.</w:t>
      </w:r>
    </w:p>
    <w:p>
      <w:pPr>
        <w:spacing w:after="120"/>
        <w:jc w:val="both"/>
      </w:pPr>
      <w:r>
        <w:rPr>
          <w:rFonts w:ascii="Arial" w:cs="Arial" w:eastAsia="Arial" w:hAnsi="Arial"/>
          <w:sz w:val="24"/>
          <w:szCs w:val="24"/>
        </w:rPr>
        <w:t xml:space="preserve">При невозможности исполнения законодательного предложения в установленный срок основной исполнитель согласовывает с Жогорку Кенешем (фракцией, депутатской группой, комитетом, депутатом, т.е. субъектом законодательного предложения) продление срока и письменно информирует Председателя Кабинета Министров или курирующего заместителя Председателя Кабинета Министров о достигнутом согласии.".</w:t>
      </w:r>
    </w:p>
    <w:p>
      <w:pPr>
        <w:spacing w:after="120"/>
        <w:jc w:val="both"/>
      </w:pPr>
      <w:r>
        <w:rPr>
          <w:rFonts w:ascii="Arial" w:cs="Arial" w:eastAsia="Arial" w:hAnsi="Arial"/>
          <w:sz w:val="24"/>
          <w:szCs w:val="24"/>
        </w:rPr>
        <w:t xml:space="preserve">2. Государственным органам, административным ведомствам, аппаратам полномочных представителей Президента Кыргызской Республики в областях, местным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 принять </w:t>
      </w:r>
      <w:hyperlink w:history="1" r:id="rIdaowixf2cbomd6fdeg9tcr">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Кабинета Министров Кыргызской Республики, утвержденный </w:t>
      </w:r>
      <w:hyperlink w:history="1" r:id="rId4x98mnlnfebn9fmwh00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28 октября 2021 года № 233, к руководству и неукоснительному исполнению;</w:t>
      </w:r>
    </w:p>
    <w:p>
      <w:pPr>
        <w:spacing w:after="120"/>
        <w:jc w:val="both"/>
      </w:pPr>
      <w:r>
        <w:rPr>
          <w:rFonts w:ascii="Arial" w:cs="Arial" w:eastAsia="Arial" w:hAnsi="Arial"/>
          <w:sz w:val="24"/>
          <w:szCs w:val="24"/>
        </w:rPr>
        <w:t xml:space="preserve">- организовать в центральных аппаратах и структурных подразделениях работу по изучению положений Регламента;</w:t>
      </w:r>
    </w:p>
    <w:p>
      <w:pPr>
        <w:spacing w:after="120"/>
        <w:jc w:val="both"/>
      </w:pPr>
      <w:r>
        <w:rPr>
          <w:rFonts w:ascii="Arial" w:cs="Arial" w:eastAsia="Arial" w:hAnsi="Arial"/>
          <w:sz w:val="24"/>
          <w:szCs w:val="24"/>
        </w:rPr>
        <w:t xml:space="preserve">- в двухнедельный срок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3. Канцелярии Президента и Кабинета Министров Администрации Президента Кыргызской Республики привести </w:t>
      </w:r>
      <w:hyperlink w:history="1" r:id="rId6femspud8v1gi_sikbtt2">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Администрации Президента Кыргызской Республики, утвержденный </w:t>
      </w:r>
      <w:hyperlink w:history="1" r:id="rIdz725jxhy-nspz9easvklu">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и </w:t>
      </w:r>
      <w:hyperlink w:history="1" r:id="rIdba6wwt6ovshvvnj1yjq6e">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с документами в Администрации Президента Кыргызской Республики, утвержденный </w:t>
      </w:r>
      <w:hyperlink w:history="1" r:id="rIdnbohpzgp7sxpltrpnr4a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571, в соответствие с настоящим постановлением.</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7 апреля 2023 года № 28 (3477)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lwnl3rgpxos0vygdwmh" Type="http://schemas.openxmlformats.org/officeDocument/2006/relationships/hyperlink" Target="http://kodeks.duckdns.org/document/112301#st_15" TargetMode="External"/><Relationship Id="rIdx8ae8n05jt8coielc9dii" Type="http://schemas.openxmlformats.org/officeDocument/2006/relationships/hyperlink" Target="http://kodeks.duckdns.org/document/158641" TargetMode="External"/><Relationship Id="rIdfizzapevmj9n4lznj-md9" Type="http://schemas.openxmlformats.org/officeDocument/2006/relationships/hyperlink" Target="http://kodeks.duckdns.org/document/158642" TargetMode="External"/><Relationship Id="rIdsfns5t5gih6vbgawinmes" Type="http://schemas.openxmlformats.org/officeDocument/2006/relationships/hyperlink" Target="http://kodeks.duckdns.org/document/158642" TargetMode="External"/><Relationship Id="rIdmzhs-0xukebo0aofe_el4" Type="http://schemas.openxmlformats.org/officeDocument/2006/relationships/hyperlink" Target="http://kodeks.duckdns.org/document/158641" TargetMode="External"/><Relationship Id="rIdsd4emysb1galda4dflsdz" Type="http://schemas.openxmlformats.org/officeDocument/2006/relationships/hyperlink" Target="http://kodeks.duckdns.org/document/112437" TargetMode="External"/><Relationship Id="rId-wrtg2eunofzgze4xeopj" Type="http://schemas.openxmlformats.org/officeDocument/2006/relationships/hyperlink" Target="http://kodeks.duckdns.org/document/158642#r7" TargetMode="External"/><Relationship Id="rIdebuqq9kcs1o__spc55vmi" Type="http://schemas.openxmlformats.org/officeDocument/2006/relationships/hyperlink" Target="http://kodeks.duckdns.org/document/112437" TargetMode="External"/><Relationship Id="rIdaowixf2cbomd6fdeg9tcr" Type="http://schemas.openxmlformats.org/officeDocument/2006/relationships/hyperlink" Target="http://kodeks.duckdns.org/document/158642" TargetMode="External"/><Relationship Id="rId4x98mnlnfebn9fmwh00fd" Type="http://schemas.openxmlformats.org/officeDocument/2006/relationships/hyperlink" Target="http://kodeks.duckdns.org/document/158641" TargetMode="External"/><Relationship Id="rId6femspud8v1gi_sikbtt2" Type="http://schemas.openxmlformats.org/officeDocument/2006/relationships/hyperlink" Target="http://kodeks.duckdns.org/document/218711" TargetMode="External"/><Relationship Id="rIdz725jxhy-nspz9easvklu" Type="http://schemas.openxmlformats.org/officeDocument/2006/relationships/hyperlink" Target="http://kodeks.duckdns.org/document/218710" TargetMode="External"/><Relationship Id="rIdba6wwt6ovshvvnj1yjq6e" Type="http://schemas.openxmlformats.org/officeDocument/2006/relationships/hyperlink" Target="http://kodeks.duckdns.org/document/218703" TargetMode="External"/><Relationship Id="rIdnbohpzgp7sxpltrpnr4ax" Type="http://schemas.openxmlformats.org/officeDocument/2006/relationships/hyperlink" Target="http://kodeks.duckdns.org/document/218702"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2026-09-23T07:20:21.262Z</dcterms:created>
  <dcterms:modified xsi:type="dcterms:W3CDTF">2026-09-23T07:20:21.262Z</dcterms:modified>
</cp:coreProperties>
</file>

<file path=docProps/custom.xml><?xml version="1.0" encoding="utf-8"?>
<Properties xmlns="http://schemas.openxmlformats.org/officeDocument/2006/custom-properties" xmlns:vt="http://schemas.openxmlformats.org/officeDocument/2006/docPropsVTypes"/>
</file>