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ztds5rzwmgyshz18ojfu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7 марта 2023 года № 136)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государственной регистрации лекарственных 
 средств для медицинского применения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cihcjvka31wfqnhbisjko">
        <w:r>
          <w:rPr>
            <w:rFonts w:ascii="Arial" w:cs="Arial" w:eastAsia="Arial" w:hAnsi="Arial"/>
            <w:i/>
            <w:iCs/>
            <w:color w:val="1D4ED8"/>
            <w:sz w:val="24"/>
            <w:szCs w:val="24"/>
            <w:u w:val="single"/>
          </w:rPr>
          <w:t xml:space="preserve">3 октября 2024 года № 598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государственной регистрации лекарственных средств для медицинского применения (далее - Порядок) определяет процедуры государственной регистрации, подтверждения регистрации лекарственных средств, внесения изменений в регистрационное досье лекарственного препарата, определения критериев конфиденциальности информации, содержащейся в регистрационном досье лекарственного препарата, проведения ускоренной процедуры регистрации лекарственных средств, формирования и ведения Государственного реестра лекарственных средств Кыргызской Республики, выдачи регистрационного удостоверения о государственной регистрации лекарственного средства, приостановки действия и аннулирования регистрационного удостоверения.</w:t>
      </w:r>
    </w:p>
    <w:p>
      <w:pPr>
        <w:spacing w:after="120"/>
        <w:jc w:val="both"/>
      </w:pPr>
      <w:r>
        <w:rPr>
          <w:rFonts w:ascii="Arial" w:cs="Arial" w:eastAsia="Arial" w:hAnsi="Arial"/>
          <w:sz w:val="24"/>
          <w:szCs w:val="24"/>
        </w:rPr>
        <w:t xml:space="preserve">2. В Порядке используются следующие понятия:</w:t>
      </w:r>
    </w:p>
    <w:p>
      <w:pPr>
        <w:spacing w:after="120"/>
        <w:jc w:val="both"/>
      </w:pPr>
      <w:r>
        <w:rPr>
          <w:rFonts w:ascii="Arial" w:cs="Arial" w:eastAsia="Arial" w:hAnsi="Arial"/>
          <w:sz w:val="24"/>
          <w:szCs w:val="24"/>
        </w:rPr>
        <w:t xml:space="preserve">1) безопасность лекарственного препарата (соотношение "польза - риск") - оценка положительных терапевтических эффектов лекарственного препарата по отношению к рискам, связанным с его применением (понятие риска включает любой риск, связанный с качеством, безопасностью или эффективностью лекарственного препарата по отношению к здоровью пациента или населения);</w:t>
      </w:r>
    </w:p>
    <w:p>
      <w:pPr>
        <w:spacing w:after="120"/>
        <w:jc w:val="both"/>
      </w:pPr>
      <w:r>
        <w:rPr>
          <w:rFonts w:ascii="Arial" w:cs="Arial" w:eastAsia="Arial" w:hAnsi="Arial"/>
          <w:sz w:val="24"/>
          <w:szCs w:val="24"/>
        </w:rPr>
        <w:t xml:space="preserve">2) биологическая доступность (биодоступность) - скорость и степень, с которыми действующее вещество или его активная часть молекулы из дозированной лекарственной формы всасываются и становятся доступными в месте действия;</w:t>
      </w:r>
    </w:p>
    <w:p>
      <w:pPr>
        <w:spacing w:after="120"/>
        <w:jc w:val="both"/>
      </w:pPr>
      <w:r>
        <w:rPr>
          <w:rFonts w:ascii="Arial" w:cs="Arial" w:eastAsia="Arial" w:hAnsi="Arial"/>
          <w:sz w:val="24"/>
          <w:szCs w:val="24"/>
        </w:rPr>
        <w:t xml:space="preserve">3) биологическая эквивалентность (биоэквивалентность) - отсутствие значимых различий в скорости и степени, с которыми действующее вещество или активная часть молекулы действующего вещества фармацевтических эквивалентов или фармацевтических альтернатив становятся доступными в месте своего действия при введении в одинаковой молярной дозе в схожих условиях в исследовании с надлежащим дизайном;</w:t>
      </w:r>
    </w:p>
    <w:p>
      <w:pPr>
        <w:spacing w:after="120"/>
        <w:jc w:val="both"/>
      </w:pPr>
      <w:r>
        <w:rPr>
          <w:rFonts w:ascii="Arial" w:cs="Arial" w:eastAsia="Arial" w:hAnsi="Arial"/>
          <w:sz w:val="24"/>
          <w:szCs w:val="24"/>
        </w:rPr>
        <w:t xml:space="preserve">4) воспроизведенный лекарственный препарат (дженерик) - лекарственный препарат, имеющий такой же количественный и качественный состав действующих веществ и ту же лекарственную форму, что и оригинальный лекарственный препарат, и биоэквивалентность которого оригинальному лекарственному препарату подтверждается соответствующими исследованиями биодоступности. Различные соли, эфиры, изомеры, смеси изомеров, комплексы или производные действующего вещества признаются одним и тем же действующим веществом, если их безопасность и эффективность существенно не отличаются. Различные лекарственные формы для приема внутрь с немедленным высвобождением признаются в рамках исследований биодоступности одной и той же лекарственной формой;</w:t>
      </w:r>
    </w:p>
    <w:p>
      <w:pPr>
        <w:spacing w:after="120"/>
        <w:jc w:val="both"/>
      </w:pPr>
      <w:r>
        <w:rPr>
          <w:rFonts w:ascii="Arial" w:cs="Arial" w:eastAsia="Arial" w:hAnsi="Arial"/>
          <w:sz w:val="24"/>
          <w:szCs w:val="24"/>
        </w:rPr>
        <w:t xml:space="preserve">5) гибридный лекарственный препарат - лекарственный препарат, не подпадающий под определение воспроизведенного лекарственного препарата при невозможности подтверждения его биоэквивалентности с помощью исследований биодоступности, а также в случае, если в данном препарате произошли изменения действующего вещества (веществ), показаний к применению, дозировки, лекарственной формы или пути введения по сравнению с оригинальным препаратом;</w:t>
      </w:r>
    </w:p>
    <w:p>
      <w:pPr>
        <w:spacing w:after="120"/>
        <w:jc w:val="both"/>
      </w:pPr>
      <w:r>
        <w:rPr>
          <w:rFonts w:ascii="Arial" w:cs="Arial" w:eastAsia="Arial" w:hAnsi="Arial"/>
          <w:sz w:val="24"/>
          <w:szCs w:val="24"/>
        </w:rPr>
        <w:t xml:space="preserve">6) держатель регистрационного удостоверения - юридическое лицо, на имя которого выдано регистрационное удостоверение о государственной регистрации лекарственного средства;</w:t>
      </w:r>
    </w:p>
    <w:p>
      <w:pPr>
        <w:spacing w:after="120"/>
        <w:jc w:val="both"/>
      </w:pPr>
      <w:r>
        <w:rPr>
          <w:rFonts w:ascii="Arial" w:cs="Arial" w:eastAsia="Arial" w:hAnsi="Arial"/>
          <w:sz w:val="24"/>
          <w:szCs w:val="24"/>
        </w:rPr>
        <w:t xml:space="preserve">7) заявитель - юридическое лицо, правомочное подавать заявление на государственную регистрацию, подтверждение регистрации, внесение изменений в регистрационное досье лекарственных препаратов, иные процедуры, связанные с регистрацией;</w:t>
      </w:r>
    </w:p>
    <w:p>
      <w:pPr>
        <w:spacing w:after="120"/>
        <w:jc w:val="both"/>
      </w:pPr>
      <w:r>
        <w:rPr>
          <w:rFonts w:ascii="Arial" w:cs="Arial" w:eastAsia="Arial" w:hAnsi="Arial"/>
          <w:sz w:val="24"/>
          <w:szCs w:val="24"/>
        </w:rPr>
        <w:t xml:space="preserve">8) качество лекарственного средства - совокупность свойств и характеристик фармацевтической субстанции или лекарственного препарата, обеспечивающая их соответствие целевому назначению согласно требованиям спецификации или нормативного документа по качеству;</w:t>
      </w:r>
    </w:p>
    <w:p>
      <w:pPr>
        <w:spacing w:after="120"/>
        <w:jc w:val="both"/>
      </w:pPr>
      <w:r>
        <w:rPr>
          <w:rFonts w:ascii="Arial" w:cs="Arial" w:eastAsia="Arial" w:hAnsi="Arial"/>
          <w:sz w:val="24"/>
          <w:szCs w:val="24"/>
        </w:rPr>
        <w:t xml:space="preserve">9) лекарственное растительное сырье - свежие или высушенные растения, водоросли, грибы или лишайники либо их части, цельные или измельченные, используемые для производства и изготовления лекарственных средств;</w:t>
      </w:r>
    </w:p>
    <w:p>
      <w:pPr>
        <w:spacing w:after="120"/>
        <w:jc w:val="both"/>
      </w:pPr>
      <w:r>
        <w:rPr>
          <w:rFonts w:ascii="Arial" w:cs="Arial" w:eastAsia="Arial" w:hAnsi="Arial"/>
          <w:sz w:val="24"/>
          <w:szCs w:val="24"/>
        </w:rPr>
        <w:t xml:space="preserve">10) лекарственный растительный препарат - лекарственный препарат, содержащий в качестве активных компонентов исключительно лекарственное растительное сырье и/или препараты на его основе;</w:t>
      </w:r>
    </w:p>
    <w:p>
      <w:pPr>
        <w:spacing w:after="120"/>
        <w:jc w:val="both"/>
      </w:pPr>
      <w:r>
        <w:rPr>
          <w:rFonts w:ascii="Arial" w:cs="Arial" w:eastAsia="Arial" w:hAnsi="Arial"/>
          <w:sz w:val="24"/>
          <w:szCs w:val="24"/>
        </w:rPr>
        <w:t xml:space="preserve">11) надлежащая практика экспертизы (GRevP) - документированные надлежащие практики для любых аспектов, связанных с процессом, форматом, содержанием и организацией экспертизы лекарственных препаратов;</w:t>
      </w:r>
    </w:p>
    <w:p>
      <w:pPr>
        <w:spacing w:after="120"/>
        <w:jc w:val="both"/>
      </w:pPr>
      <w:r>
        <w:rPr>
          <w:rFonts w:ascii="Arial" w:cs="Arial" w:eastAsia="Arial" w:hAnsi="Arial"/>
          <w:sz w:val="24"/>
          <w:szCs w:val="24"/>
        </w:rPr>
        <w:t xml:space="preserve">12) общая характеристика лекарственного препарата - документ, содержащий информацию для медицинских работников о безопасном и эффективном применении лекарственного препарата;</w:t>
      </w:r>
    </w:p>
    <w:p>
      <w:pPr>
        <w:spacing w:after="120"/>
        <w:jc w:val="both"/>
      </w:pPr>
      <w:r>
        <w:rPr>
          <w:rFonts w:ascii="Arial" w:cs="Arial" w:eastAsia="Arial" w:hAnsi="Arial"/>
          <w:sz w:val="24"/>
          <w:szCs w:val="24"/>
        </w:rPr>
        <w:t xml:space="preserve">13) общий технический документ - комплект документов и материалов, представляемых в виде пяти модулей, состоящих из разделов: документация административного характера, химическая, фармацевтическая и биологическая документация, фармакологическая, токсикологическая документация, клиническая документация, представляемые одновременно с заявлением о государственной регистрации лекарственного средства для медицинского применения;</w:t>
      </w:r>
    </w:p>
    <w:p>
      <w:pPr>
        <w:spacing w:after="120"/>
        <w:jc w:val="both"/>
      </w:pPr>
      <w:r>
        <w:rPr>
          <w:rFonts w:ascii="Arial" w:cs="Arial" w:eastAsia="Arial" w:hAnsi="Arial"/>
          <w:sz w:val="24"/>
          <w:szCs w:val="24"/>
        </w:rPr>
        <w:t xml:space="preserve">14) оригинальный лекарственный препарат - лекарственный препарат с новым действующим веществом, который был первым зарегистрирован и размещен на мировом фармацевтическом рынке на основании регистрационного досье, содержащего результаты полных доклинических (неклинических) и клинических исследований, подтверждающих его качество, безопасность и эффективность;</w:t>
      </w:r>
    </w:p>
    <w:p>
      <w:pPr>
        <w:spacing w:after="120"/>
        <w:jc w:val="both"/>
      </w:pPr>
      <w:r>
        <w:rPr>
          <w:rFonts w:ascii="Arial" w:cs="Arial" w:eastAsia="Arial" w:hAnsi="Arial"/>
          <w:sz w:val="24"/>
          <w:szCs w:val="24"/>
        </w:rPr>
        <w:t xml:space="preserve">15) представитель держателя регистрационного удостоверения - юридическое лицо, расположенное на территории Кыргызской Республики и уполномоченное держателем регистрационного удостоверения на выполнение действий, связанных с обращением лекарственных средств на территории Кыргызской Республики;</w:t>
      </w:r>
    </w:p>
    <w:p>
      <w:pPr>
        <w:spacing w:after="120"/>
        <w:jc w:val="both"/>
      </w:pPr>
      <w:r>
        <w:rPr>
          <w:rFonts w:ascii="Arial" w:cs="Arial" w:eastAsia="Arial" w:hAnsi="Arial"/>
          <w:sz w:val="24"/>
          <w:szCs w:val="24"/>
        </w:rPr>
        <w:t xml:space="preserve">16) производитель лекарственных средств - организация, осуществляющая деятельность по производству лекарственных средств на основании лицензии на право осуществления фармацевтической деятельности;</w:t>
      </w:r>
    </w:p>
    <w:p>
      <w:pPr>
        <w:spacing w:after="120"/>
        <w:jc w:val="both"/>
      </w:pPr>
      <w:r>
        <w:rPr>
          <w:rFonts w:ascii="Arial" w:cs="Arial" w:eastAsia="Arial" w:hAnsi="Arial"/>
          <w:sz w:val="24"/>
          <w:szCs w:val="24"/>
        </w:rPr>
        <w:t xml:space="preserve">17) производственная площадка - территориально обособленный комплекс производителя лекарственных средств, предназначенный для выполнения всего процесса производства лекарственных средств или его определенной стадии;</w:t>
      </w:r>
    </w:p>
    <w:p>
      <w:pPr>
        <w:spacing w:after="120"/>
        <w:jc w:val="both"/>
      </w:pPr>
      <w:r>
        <w:rPr>
          <w:rFonts w:ascii="Arial" w:cs="Arial" w:eastAsia="Arial" w:hAnsi="Arial"/>
          <w:sz w:val="24"/>
          <w:szCs w:val="24"/>
        </w:rPr>
        <w:t xml:space="preserve">18) регистрационное досье лекарственного препарата - комплект документов, представляемых для проведения процедур регистрации лекарственного средства;</w:t>
      </w:r>
    </w:p>
    <w:p>
      <w:pPr>
        <w:spacing w:after="120"/>
        <w:jc w:val="both"/>
      </w:pPr>
      <w:r>
        <w:rPr>
          <w:rFonts w:ascii="Arial" w:cs="Arial" w:eastAsia="Arial" w:hAnsi="Arial"/>
          <w:sz w:val="24"/>
          <w:szCs w:val="24"/>
        </w:rPr>
        <w:t xml:space="preserve">19) референтный лекарственный препарат - лекарственный препарат, используемый в качестве препарата сравнения и являющийся эталоном, по которому определяются (нормируются) свойства лекарственного препарата;</w:t>
      </w:r>
    </w:p>
    <w:p>
      <w:pPr>
        <w:spacing w:after="120"/>
        <w:jc w:val="both"/>
      </w:pPr>
      <w:r>
        <w:rPr>
          <w:rFonts w:ascii="Arial" w:cs="Arial" w:eastAsia="Arial" w:hAnsi="Arial"/>
          <w:sz w:val="24"/>
          <w:szCs w:val="24"/>
        </w:rPr>
        <w:t xml:space="preserve">20) риски, связанные с применением лекарственного средства - любые риски, связанные с качеством, безопасностью или эффективностью лекарственного средства в отношении здоровья пациентов или населения, или риски, ведущие к нежелательному воздействию на окружающую среду;</w:t>
      </w:r>
    </w:p>
    <w:p>
      <w:pPr>
        <w:spacing w:after="120"/>
        <w:jc w:val="both"/>
      </w:pPr>
      <w:r>
        <w:rPr>
          <w:rFonts w:ascii="Arial" w:cs="Arial" w:eastAsia="Arial" w:hAnsi="Arial"/>
          <w:sz w:val="24"/>
          <w:szCs w:val="24"/>
        </w:rPr>
        <w:t xml:space="preserve">21) стандартный образец - идентифицированное однородное вещество или смесь веществ, предназначенные для использования в химических, физических и биологических исследованиях, в которых его свойства сравниваются со свойствами исследуемого лекарственного средства, и обладающие достаточной для соответствующего применения степенью чистоты;</w:t>
      </w:r>
    </w:p>
    <w:p>
      <w:pPr>
        <w:spacing w:after="120"/>
        <w:jc w:val="both"/>
      </w:pPr>
      <w:r>
        <w:rPr>
          <w:rFonts w:ascii="Arial" w:cs="Arial" w:eastAsia="Arial" w:hAnsi="Arial"/>
          <w:sz w:val="24"/>
          <w:szCs w:val="24"/>
        </w:rPr>
        <w:t xml:space="preserve">22) торговое наименование лекарственного средства - наименование, под которым зарегистрировано лекарственное средство;</w:t>
      </w:r>
    </w:p>
    <w:p>
      <w:pPr>
        <w:spacing w:after="120"/>
        <w:jc w:val="both"/>
      </w:pPr>
      <w:r>
        <w:rPr>
          <w:rFonts w:ascii="Arial" w:cs="Arial" w:eastAsia="Arial" w:hAnsi="Arial"/>
          <w:sz w:val="24"/>
          <w:szCs w:val="24"/>
        </w:rPr>
        <w:t xml:space="preserve">23) экспертиза - комплексная, всесторонняя, междисциплинарная оценка регистрационного досье лекарственного препарата, направленная на обеспечение соответствия его научным и доказательным стандартам безопасности и эффективности (фармакологическая экспертиза) и качества (фармацевтическая экспертиза и лабораторные испытания).</w:t>
      </w:r>
    </w:p>
    <w:p>
      <w:pPr>
        <w:spacing w:after="120"/>
        <w:jc w:val="both"/>
      </w:pPr>
      <w:r>
        <w:rPr>
          <w:rFonts w:ascii="Arial" w:cs="Arial" w:eastAsia="Arial" w:hAnsi="Arial"/>
          <w:sz w:val="24"/>
          <w:szCs w:val="24"/>
        </w:rPr>
        <w:t xml:space="preserve">3. Процедуры, указанные в пункте 1 настоящего Порядка, осуществляет подведомственное учреждение уполномоченного государственного органа Кыргызской Республики в области здравоохранения, регулирующее обращение лекарственных средств и медицинских изделий (далее - уполномоченный орган).</w:t>
      </w:r>
    </w:p>
    <w:p>
      <w:pPr>
        <w:spacing w:after="120"/>
        <w:jc w:val="both"/>
      </w:pPr>
      <w:r>
        <w:rPr>
          <w:rFonts w:ascii="Arial" w:cs="Arial" w:eastAsia="Arial" w:hAnsi="Arial"/>
          <w:sz w:val="24"/>
          <w:szCs w:val="24"/>
        </w:rPr>
        <w:t xml:space="preserve">4. Действие Порядка не применяется в отношении лекарственных средств, определяемых статьей 10 Закона Кыргызской Республики "Об обращении лекарственных средств".</w:t>
      </w:r>
    </w:p>
    <w:p>
      <w:pPr>
        <w:spacing w:after="120"/>
        <w:jc w:val="both"/>
      </w:pPr>
      <w:r>
        <w:rPr>
          <w:rFonts w:ascii="Arial" w:cs="Arial" w:eastAsia="Arial" w:hAnsi="Arial"/>
          <w:sz w:val="24"/>
          <w:szCs w:val="24"/>
        </w:rPr>
        <w:t xml:space="preserve">5. Уполномоченный орган гарантирует защиту конфиденциальной информации, содержащейся в регистрационном досье.</w:t>
      </w:r>
    </w:p>
    <w:p>
      <w:pPr>
        <w:spacing w:after="120"/>
        <w:jc w:val="both"/>
      </w:pPr>
      <w:r>
        <w:rPr>
          <w:rFonts w:ascii="Arial" w:cs="Arial" w:eastAsia="Arial" w:hAnsi="Arial"/>
          <w:sz w:val="24"/>
          <w:szCs w:val="24"/>
        </w:rPr>
        <w:t xml:space="preserve">Критериями конфиденциальности информации, содержащейся в регистрационном досье, являются: принадлежность информации к производственному процессу, личным данным физических лиц или сведениям, охраняемым производителем лекарственного средства в качестве коммерческой тайны, а именно: информация о личных данных лиц, участвовавших в клинических исследованиях, технологии производства, методах испытания лекарственного средства и мастер-файле по производству активной фармацевтической субстанции, являющихся частной собственностью производителя или разработчика.</w:t>
      </w:r>
    </w:p>
    <w:p>
      <w:pPr>
        <w:spacing w:after="120"/>
        <w:jc w:val="both"/>
      </w:pPr>
      <w:r>
        <w:rPr>
          <w:rFonts w:ascii="Arial" w:cs="Arial" w:eastAsia="Arial" w:hAnsi="Arial"/>
          <w:sz w:val="24"/>
          <w:szCs w:val="24"/>
        </w:rPr>
        <w:t xml:space="preserve">Хранение регистрационных досье и документов, представленных для государственной регистрации, подтверждения регистрации лекарственных средств, внесения изменений в регистрационное досье, осуществляется уполномоченным органом в соответствии с законодательством Кыргызской Республики об архивном деле. Регистрационные досье подлежат уничтожению в порядке, определяемом законодательством в сфере архивного дела и делопроизводства. Регистрационное досье хранится с соблюдением требований конфиденциальности независимо от результатов экспертизы.</w:t>
      </w:r>
    </w:p>
    <w:p>
      <w:pPr>
        <w:spacing w:after="120"/>
        <w:jc w:val="both"/>
      </w:pPr>
      <w:r>
        <w:rPr>
          <w:rFonts w:ascii="Arial" w:cs="Arial" w:eastAsia="Arial" w:hAnsi="Arial"/>
          <w:sz w:val="24"/>
          <w:szCs w:val="24"/>
        </w:rPr>
        <w:t xml:space="preserve">6. Документы и данные, содержащиеся в регистрационном досье и предоставляемые заявителем, должны содержать достоверную информацию.</w:t>
      </w:r>
    </w:p>
    <w:p>
      <w:pPr>
        <w:spacing w:after="120"/>
        <w:jc w:val="both"/>
      </w:pPr>
      <w:r>
        <w:rPr>
          <w:rFonts w:ascii="Arial" w:cs="Arial" w:eastAsia="Arial" w:hAnsi="Arial"/>
          <w:sz w:val="24"/>
          <w:szCs w:val="24"/>
        </w:rPr>
        <w:t xml:space="preserve">7. Заявитель в соответствии с настоящим Порядком несет расходы на регистрацию, подтверждение регистрации, внесение изменений в регистрационное досье лекарственных средств, процедуры, связанные с регистрацией, а также на проведение инспекций в целях определения соответствия требованиям надлежащих фармацевтических практик, инициируемых в связи с осуществлением указанных процедур.</w:t>
      </w:r>
    </w:p>
    <w:p>
      <w:pPr>
        <w:spacing w:after="120"/>
        <w:jc w:val="both"/>
      </w:pPr>
      <w:r>
        <w:rPr>
          <w:rFonts w:ascii="Arial" w:cs="Arial" w:eastAsia="Arial" w:hAnsi="Arial"/>
          <w:sz w:val="24"/>
          <w:szCs w:val="24"/>
        </w:rPr>
        <w:t xml:space="preserve">8. Заявителю не возвращаются расходы, указанные в пункте 7 настоящего Порядка.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государственной 
 регистрации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целях государственной регистрации лекарственного средства заявитель представляет в уполномоченный орган заявление по форме, утвержденной уполномоченным органом с приложением регистрационного досье в формате общего технического документа:</w:t>
      </w:r>
    </w:p>
    <w:p>
      <w:pPr>
        <w:spacing w:after="120"/>
        <w:jc w:val="both"/>
      </w:pPr>
      <w:r>
        <w:rPr>
          <w:rFonts w:ascii="Arial" w:cs="Arial" w:eastAsia="Arial" w:hAnsi="Arial"/>
          <w:sz w:val="24"/>
          <w:szCs w:val="24"/>
        </w:rPr>
        <w:t xml:space="preserve">- Модуль 1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или приложения 4 к настоящему Порядку в двух экземплярах в бумажном и электронном виде, при этом нормативный документ по качеству и инструкция по медицинскому применению лекарственного препарата (листок-вкладыш) представляются заявителем по формам согласно приложениям </w:t>
      </w:r>
      <w:hyperlink w:history="1" r:id="rId4-dki8rt7nc4xazi8eujc">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1wrbbifmhq8mpoeqdih-j">
        <w:r>
          <w:rPr>
            <w:rFonts w:ascii="Arial" w:cs="Arial" w:eastAsia="Arial" w:hAnsi="Arial"/>
            <w:color w:val="1D4ED8"/>
            <w:sz w:val="24"/>
            <w:szCs w:val="24"/>
            <w:u w:val="single"/>
          </w:rPr>
          <w:t xml:space="preserve">3</w:t>
        </w:r>
      </w:hyperlink>
      <w:r>
        <w:rPr>
          <w:rFonts w:ascii="Arial" w:cs="Arial" w:eastAsia="Arial" w:hAnsi="Arial"/>
          <w:sz w:val="24"/>
          <w:szCs w:val="24"/>
        </w:rPr>
        <w:t xml:space="preserve"> соответственно к настоящему Порядку;</w:t>
      </w:r>
    </w:p>
    <w:p>
      <w:pPr>
        <w:spacing w:after="120"/>
        <w:jc w:val="both"/>
      </w:pPr>
      <w:r>
        <w:rPr>
          <w:rFonts w:ascii="Arial" w:cs="Arial" w:eastAsia="Arial" w:hAnsi="Arial"/>
          <w:sz w:val="24"/>
          <w:szCs w:val="24"/>
        </w:rPr>
        <w:t xml:space="preserve">- Модули 2-5 регистрационного досье лекарственного препарата предоставляются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в электронном виде.</w:t>
      </w:r>
    </w:p>
    <w:p>
      <w:pPr>
        <w:spacing w:after="120"/>
        <w:jc w:val="both"/>
      </w:pPr>
      <w:r>
        <w:rPr>
          <w:rFonts w:ascii="Arial" w:cs="Arial" w:eastAsia="Arial" w:hAnsi="Arial"/>
          <w:sz w:val="24"/>
          <w:szCs w:val="24"/>
        </w:rPr>
        <w:t xml:space="preserve">Отечественные производители при подаче заявления на государственную регистрацию лекарственных средств представляют в уполномоченный орган регистрационное досье лекарственного препарата в двух экземплярах, в электронном виде по форме согласно </w:t>
      </w:r>
      <w:hyperlink w:history="1" r:id="rIdzgq3-cunxe2qictxq8t8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10. На лекарственные средства, одобренные для медицинского применения уполномоченным органом одного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Мальта, Республика Польша, Республика Корея, Республика Словения, Республика Хорватия, Румыния, Словацкая Республика, Турецкая Республика, Федеративная Республика Германия, Финляндская Республика, Французская Республика, Эстонская Республика заявитель предоставляет заявление по форме, утвержденной уполномоченным органом, с приложением следующих документов:</w:t>
      </w:r>
    </w:p>
    <w:p>
      <w:pPr>
        <w:spacing w:after="120"/>
        <w:jc w:val="both"/>
      </w:pPr>
      <w:r>
        <w:rPr>
          <w:rFonts w:ascii="Arial" w:cs="Arial" w:eastAsia="Arial" w:hAnsi="Arial"/>
          <w:sz w:val="24"/>
          <w:szCs w:val="24"/>
        </w:rPr>
        <w:t xml:space="preserve">- регистрационное досье, аналогичное поданному соответствующему уполномоченному органу;</w:t>
      </w:r>
    </w:p>
    <w:p>
      <w:pPr>
        <w:spacing w:after="120"/>
        <w:jc w:val="both"/>
      </w:pPr>
      <w:r>
        <w:rPr>
          <w:rFonts w:ascii="Arial" w:cs="Arial" w:eastAsia="Arial" w:hAnsi="Arial"/>
          <w:sz w:val="24"/>
          <w:szCs w:val="24"/>
        </w:rPr>
        <w:t xml:space="preserve">- документ (копия), подтверждающий факт регистрации лекарственного средства в одном из уполномоченных органов (нотариально заверенная копия с переводом на официальный и/или государственный язык (верность перевода или подлинность подписи переводчика должна быть засвидетельствована нотариально), если иное не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 нормативный документ по качеству лекарственного средства или эквивалентный документ (спецификация и методика анализа лекарственного средства) на официальном и/или государственном языке;</w:t>
      </w:r>
    </w:p>
    <w:p>
      <w:pPr>
        <w:spacing w:after="120"/>
        <w:jc w:val="both"/>
      </w:pPr>
      <w:r>
        <w:rPr>
          <w:rFonts w:ascii="Arial" w:cs="Arial" w:eastAsia="Arial" w:hAnsi="Arial"/>
          <w:sz w:val="24"/>
          <w:szCs w:val="24"/>
        </w:rPr>
        <w:t xml:space="preserve">- макеты первичной и вторичной (потребительской) упаковок на официальном и/или государственном языке; допускается предоставление макетов первичной и вторичной (потребительской) упаковок на английском языке с одновременным предоставлением соответствующих макетов самоклеющейся этикетки (стикер), содержащей соответствующую информацию о лекарственном препарате на официальном и/или государственном языке;</w:t>
      </w:r>
    </w:p>
    <w:p>
      <w:pPr>
        <w:spacing w:after="120"/>
        <w:jc w:val="both"/>
      </w:pPr>
      <w:r>
        <w:rPr>
          <w:rFonts w:ascii="Arial" w:cs="Arial" w:eastAsia="Arial" w:hAnsi="Arial"/>
          <w:sz w:val="24"/>
          <w:szCs w:val="24"/>
        </w:rPr>
        <w:t xml:space="preserve">- инструкция по медицинскому применению на официальном и на государственном языках.</w:t>
      </w:r>
    </w:p>
    <w:p>
      <w:pPr>
        <w:spacing w:after="120"/>
        <w:jc w:val="both"/>
      </w:pPr>
      <w:r>
        <w:rPr>
          <w:rFonts w:ascii="Arial" w:cs="Arial" w:eastAsia="Arial" w:hAnsi="Arial"/>
          <w:sz w:val="24"/>
          <w:szCs w:val="24"/>
        </w:rPr>
        <w:t xml:space="preserve">11. Для орфанных препаратов, заявленных на государственную регистрацию, вместо документов регистрационного досье о проведении доклинических и клинических испытаний, заявитель представляет резюме доклинических и клинических данных орфанного препарата с обоснованием соотношения "польза - риск".</w:t>
      </w:r>
    </w:p>
    <w:p>
      <w:pPr>
        <w:spacing w:after="120"/>
        <w:jc w:val="both"/>
      </w:pPr>
      <w:r>
        <w:rPr>
          <w:rFonts w:ascii="Arial" w:cs="Arial" w:eastAsia="Arial" w:hAnsi="Arial"/>
          <w:sz w:val="24"/>
          <w:szCs w:val="24"/>
        </w:rPr>
        <w:t xml:space="preserve">12. При подаче заявления на государственную регистрацию различных лекарственных форм одного и того же лекарственного препарата заявитель представляет в уполномоченный орган отдельные заявления и регистрационное досье на каждую лекарственную форму.</w:t>
      </w:r>
    </w:p>
    <w:p>
      <w:pPr>
        <w:spacing w:after="120"/>
        <w:jc w:val="both"/>
      </w:pPr>
      <w:r>
        <w:rPr>
          <w:rFonts w:ascii="Arial" w:cs="Arial" w:eastAsia="Arial" w:hAnsi="Arial"/>
          <w:sz w:val="24"/>
          <w:szCs w:val="24"/>
        </w:rPr>
        <w:t xml:space="preserve">13. При подаче заявления на государственную регистрацию одной лекарственной формы с различной дозировкой, концентрацией, объемом заполнения, заявитель представляет одно заявление и регистрационное досье с приложением макетов упаковок на каждую дозировку, концентрацию, объем заполнения и количество доз в упаковке, а также нормативного документа по качеству в случае различия в методиках контроля.</w:t>
      </w:r>
    </w:p>
    <w:p>
      <w:pPr>
        <w:spacing w:after="120"/>
        <w:jc w:val="both"/>
      </w:pPr>
      <w:r>
        <w:rPr>
          <w:rFonts w:ascii="Arial" w:cs="Arial" w:eastAsia="Arial" w:hAnsi="Arial"/>
          <w:sz w:val="24"/>
          <w:szCs w:val="24"/>
        </w:rPr>
        <w:t xml:space="preserve">Запрещается регистрация лекарственных препаратов с торговым наименованием, которое было ранее использовано для регистрации препарата, состав активных веществ которого отличается от состава активных веществ заявляемого препарата.</w:t>
      </w:r>
    </w:p>
    <w:p>
      <w:pPr>
        <w:spacing w:after="120"/>
        <w:jc w:val="both"/>
      </w:pPr>
      <w:r>
        <w:rPr>
          <w:rFonts w:ascii="Arial" w:cs="Arial" w:eastAsia="Arial" w:hAnsi="Arial"/>
          <w:sz w:val="24"/>
          <w:szCs w:val="24"/>
        </w:rPr>
        <w:t xml:space="preserve">14. При подаче заявления на государственную регистрацию орфанных препаратов и лекарственных средств, поступающих по линии гуманитарной помощи в рамках программ в сфере здравоохранения, заявитель освобождается от оплаты расходов, связанных с регистрацией (государственная регистрация, подтверждение регистрации и внесение изменений в регистрационное досье) при условии подтверждения на основе документов, выдаваемых уполномоченным государственным органом Кыргызской Республики в области здравоохранения, о принадлежности заявленного лекарственного препарата к орфанным препаратам или к лекарственным средствам, поступающим по линии гуманитарной помощи в рамках программ в сфере здравоохранения.</w:t>
      </w:r>
    </w:p>
    <w:p>
      <w:pPr>
        <w:spacing w:after="120"/>
        <w:jc w:val="both"/>
      </w:pPr>
      <w:r>
        <w:rPr>
          <w:rFonts w:ascii="Arial" w:cs="Arial" w:eastAsia="Arial" w:hAnsi="Arial"/>
          <w:sz w:val="24"/>
          <w:szCs w:val="24"/>
        </w:rPr>
        <w:t xml:space="preserve">15. Прием заявления с приложенным к нему регистрационным досье оформляется актом приема-передачи по форме, утвержденной уполномоченным органом.</w:t>
      </w:r>
    </w:p>
    <w:p>
      <w:pPr>
        <w:spacing w:after="120"/>
        <w:jc w:val="both"/>
      </w:pPr>
      <w:r>
        <w:rPr>
          <w:rFonts w:ascii="Arial" w:cs="Arial" w:eastAsia="Arial" w:hAnsi="Arial"/>
          <w:sz w:val="24"/>
          <w:szCs w:val="24"/>
        </w:rPr>
        <w:t xml:space="preserve">16. Уполномоченный орган выставляет счет на оплату в течение 5 рабочих дней с момента приема заявления.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120"/>
        <w:jc w:val="both"/>
      </w:pPr>
      <w:r>
        <w:rPr>
          <w:rFonts w:ascii="Arial" w:cs="Arial" w:eastAsia="Arial" w:hAnsi="Arial"/>
          <w:sz w:val="24"/>
          <w:szCs w:val="24"/>
        </w:rPr>
        <w:t xml:space="preserve">Невнесение заявителем оплаты за государственную регистрацию лекарственного средства в установленный срок влечет отказ в государственной регистрации. Возврат регистрационного досье с оформлением акта приема-передачи осуществляется по запросу заявителя.</w:t>
      </w:r>
    </w:p>
    <w:p>
      <w:pPr>
        <w:spacing w:after="120"/>
        <w:jc w:val="both"/>
      </w:pPr>
      <w:r>
        <w:rPr>
          <w:rFonts w:ascii="Arial" w:cs="Arial" w:eastAsia="Arial" w:hAnsi="Arial"/>
          <w:sz w:val="24"/>
          <w:szCs w:val="24"/>
        </w:rPr>
        <w:t xml:space="preserve">17. Государственная регистрация лекарственных средств проводится уполномоченным органом в срок, не превышающий 180 календарных дней с даты подтверждения оплаты за регистрацию лекарственного средства.</w:t>
      </w:r>
    </w:p>
    <w:p>
      <w:pPr>
        <w:spacing w:after="120"/>
        <w:jc w:val="both"/>
      </w:pPr>
      <w:r>
        <w:rPr>
          <w:rFonts w:ascii="Arial" w:cs="Arial" w:eastAsia="Arial" w:hAnsi="Arial"/>
          <w:sz w:val="24"/>
          <w:szCs w:val="24"/>
        </w:rPr>
        <w:t xml:space="preserve">Для лекарственных средств, предусмотренных пунктом 10 настоящего Порядка, срок государственной регистрации не превышает 60 календарных дней с даты подтверждения оплаты за регистрацию лекарственного средства.</w:t>
      </w:r>
    </w:p>
    <w:p>
      <w:pPr>
        <w:spacing w:after="120"/>
        <w:jc w:val="both"/>
      </w:pPr>
      <w:r>
        <w:rPr>
          <w:rFonts w:ascii="Arial" w:cs="Arial" w:eastAsia="Arial" w:hAnsi="Arial"/>
          <w:sz w:val="24"/>
          <w:szCs w:val="24"/>
        </w:rPr>
        <w:t xml:space="preserve">18. В целях государственной регистрации уполномоченный орган проводит экспертизу качества, безопасности и эффективности лекарственных средств в срок, не превышающий 180 календарных дней, которая включает:</w:t>
      </w:r>
    </w:p>
    <w:p>
      <w:pPr>
        <w:spacing w:after="120"/>
        <w:jc w:val="both"/>
      </w:pPr>
      <w:r>
        <w:rPr>
          <w:rFonts w:ascii="Arial" w:cs="Arial" w:eastAsia="Arial" w:hAnsi="Arial"/>
          <w:sz w:val="24"/>
          <w:szCs w:val="24"/>
        </w:rPr>
        <w:t xml:space="preserve">- лабораторные испытания образцов лекарственного средства (если применимо);</w:t>
      </w:r>
    </w:p>
    <w:p>
      <w:pPr>
        <w:spacing w:after="120"/>
        <w:jc w:val="both"/>
      </w:pPr>
      <w:r>
        <w:rPr>
          <w:rFonts w:ascii="Arial" w:cs="Arial" w:eastAsia="Arial" w:hAnsi="Arial"/>
          <w:sz w:val="24"/>
          <w:szCs w:val="24"/>
        </w:rPr>
        <w:t xml:space="preserve">- фармацевтическую экспертизу регистрационного досье;</w:t>
      </w:r>
    </w:p>
    <w:p>
      <w:pPr>
        <w:spacing w:after="120"/>
        <w:jc w:val="both"/>
      </w:pPr>
      <w:r>
        <w:rPr>
          <w:rFonts w:ascii="Arial" w:cs="Arial" w:eastAsia="Arial" w:hAnsi="Arial"/>
          <w:sz w:val="24"/>
          <w:szCs w:val="24"/>
        </w:rPr>
        <w:t xml:space="preserve">- фармакологическую экспертизу регистрационного досье.</w:t>
      </w:r>
    </w:p>
    <w:p>
      <w:pPr>
        <w:spacing w:after="120"/>
        <w:jc w:val="both"/>
      </w:pPr>
      <w:r>
        <w:rPr>
          <w:rFonts w:ascii="Arial" w:cs="Arial" w:eastAsia="Arial" w:hAnsi="Arial"/>
          <w:sz w:val="24"/>
          <w:szCs w:val="24"/>
        </w:rPr>
        <w:t xml:space="preserve">19. При проведении лабораторных испытаний, образцы лекарственного средства, а также предусмотренные нормативным документом по качеству стандартные образцы активных фармацевтических субстанций и родственных примесей, специфические реагенты для проведения испытаний образцов лекарственного средства предоставляются заявителем в количестве, согласованном с уполномоченным органом и необходимом для проведения не менее чем трехкратного анализа в соответствии с требованиями нормативного документа по качеству лекарственного средства или иными спецификациями, входящими в состав регистрационного досье. При этом оформляется акт приема-передачи образцов лекарственного средства по форме, утвержденной уполномоченным органом. Время предоставления заявителем образцов лекарственного средства не входит в общий срок регистрации лекарственного средства. В случае если одна и та же доза лекарственного препарата в одних и тех же первичных упаковках заявляется в нескольких формах фасовки/выпуска, отличающихся только количеством доз в упаковке, допускается предоставление образцов лекарственного препарата только одной формы фасовки/выпуска.</w:t>
      </w:r>
    </w:p>
    <w:p>
      <w:pPr>
        <w:spacing w:after="120"/>
        <w:jc w:val="both"/>
      </w:pPr>
      <w:r>
        <w:rPr>
          <w:rFonts w:ascii="Arial" w:cs="Arial" w:eastAsia="Arial" w:hAnsi="Arial"/>
          <w:sz w:val="24"/>
          <w:szCs w:val="24"/>
        </w:rPr>
        <w:t xml:space="preserve">20. Результатом лабораторных испытаний лекарственного средства, проводимых в аккредитованной испытательной лаборатории, является протокол испытаний.</w:t>
      </w:r>
    </w:p>
    <w:p>
      <w:pPr>
        <w:spacing w:after="120"/>
        <w:jc w:val="both"/>
      </w:pPr>
      <w:r>
        <w:rPr>
          <w:rFonts w:ascii="Arial" w:cs="Arial" w:eastAsia="Arial" w:hAnsi="Arial"/>
          <w:sz w:val="24"/>
          <w:szCs w:val="24"/>
        </w:rPr>
        <w:t xml:space="preserve">21. В случае невозможности проведения лабораторных испытаний в полном объеме или частично вследствие труднодоступности образцов лекарственных препаратов (в том числе при их отнесении к категории орфанных, наркотических, психотропных или предназначенных для лечения высокозатратных нозологий вследствие их высокой стоимости), а также в связи с невыполнимостью соблюдения условий транспортировки и/или хранения образцов вышеуказанных лекарственных средств, отсутствием специального оборудования и расходных материалов для их испытания, проведение лабораторных испытаний, как в полном объеме, так и частично, заменяется по решению уполномоченного органа одним из следующих способов экспертизы:</w:t>
      </w:r>
    </w:p>
    <w:p>
      <w:pPr>
        <w:spacing w:after="120"/>
        <w:jc w:val="both"/>
      </w:pPr>
      <w:r>
        <w:rPr>
          <w:rFonts w:ascii="Arial" w:cs="Arial" w:eastAsia="Arial" w:hAnsi="Arial"/>
          <w:sz w:val="24"/>
          <w:szCs w:val="24"/>
        </w:rPr>
        <w:t xml:space="preserve">- проведение испытаний в лаборатории контроля качества производителя лекарственного средства или в иной лаборатории, заключившей контракт с производителем, под наблюдением специалистов/инспекторов уполномоченного органа;</w:t>
      </w:r>
    </w:p>
    <w:p>
      <w:pPr>
        <w:spacing w:after="120"/>
        <w:jc w:val="both"/>
      </w:pPr>
      <w:r>
        <w:rPr>
          <w:rFonts w:ascii="Arial" w:cs="Arial" w:eastAsia="Arial" w:hAnsi="Arial"/>
          <w:sz w:val="24"/>
          <w:szCs w:val="24"/>
        </w:rPr>
        <w:t xml:space="preserve">- проведение испытаний лекарственных препаратов с использованием средств дистанционного взаимодействия в режиме реального времени посредством видеосвязи.</w:t>
      </w:r>
    </w:p>
    <w:p>
      <w:pPr>
        <w:spacing w:after="120"/>
        <w:jc w:val="both"/>
      </w:pPr>
      <w:r>
        <w:rPr>
          <w:rFonts w:ascii="Arial" w:cs="Arial" w:eastAsia="Arial" w:hAnsi="Arial"/>
          <w:sz w:val="24"/>
          <w:szCs w:val="24"/>
        </w:rPr>
        <w:t xml:space="preserve">По результатам наблюдений оформляется протокол о наблюдении за проведением испытаний с подписями проводивших наблюдения экспертов уполномоченного органа с приложением видео- и/или аудиозаписей, если возможно.</w:t>
      </w:r>
    </w:p>
    <w:p>
      <w:pPr>
        <w:spacing w:after="120"/>
        <w:jc w:val="both"/>
      </w:pPr>
      <w:r>
        <w:rPr>
          <w:rFonts w:ascii="Arial" w:cs="Arial" w:eastAsia="Arial" w:hAnsi="Arial"/>
          <w:sz w:val="24"/>
          <w:szCs w:val="24"/>
        </w:rPr>
        <w:t xml:space="preserve">По официальному запросу заявителя уполномоченный орган вправе направлять образцы лекарственных средств для проведения полных или частичных испытаний в аккредитованные лаборатории, находящиеся на территории государств - членов Евразийского экономического союза (далее - ЕАЭС).</w:t>
      </w:r>
    </w:p>
    <w:p>
      <w:pPr>
        <w:spacing w:after="120"/>
        <w:jc w:val="both"/>
      </w:pPr>
      <w:r>
        <w:rPr>
          <w:rFonts w:ascii="Arial" w:cs="Arial" w:eastAsia="Arial" w:hAnsi="Arial"/>
          <w:sz w:val="24"/>
          <w:szCs w:val="24"/>
        </w:rPr>
        <w:t xml:space="preserve">22. Лабораторные испытания образцов лекарственного средства не проводятся, если выполняется хотя бы одно из следующих условий:</w:t>
      </w:r>
    </w:p>
    <w:p>
      <w:pPr>
        <w:spacing w:after="120"/>
        <w:jc w:val="both"/>
      </w:pPr>
      <w:r>
        <w:rPr>
          <w:rFonts w:ascii="Arial" w:cs="Arial" w:eastAsia="Arial" w:hAnsi="Arial"/>
          <w:sz w:val="24"/>
          <w:szCs w:val="24"/>
        </w:rPr>
        <w:t xml:space="preserve">- для лекарственных средств, предусмотренных пунктом 10 настоящего Порядка;</w:t>
      </w:r>
    </w:p>
    <w:p>
      <w:pPr>
        <w:spacing w:after="120"/>
        <w:jc w:val="both"/>
      </w:pPr>
      <w:r>
        <w:rPr>
          <w:rFonts w:ascii="Arial" w:cs="Arial" w:eastAsia="Arial" w:hAnsi="Arial"/>
          <w:sz w:val="24"/>
          <w:szCs w:val="24"/>
        </w:rPr>
        <w:t xml:space="preserve">- при наличии сертификата, подтверждающего соответствие производственной площадки надлежащей производственной практике, выданного регуляторными органами стран региона Международного совета по гармонизации технических требований к регистрации лекарственных препаратов для медицинского применения, кроме стран наблюдателей (далее - страны ICH);</w:t>
      </w:r>
    </w:p>
    <w:p>
      <w:pPr>
        <w:spacing w:after="120"/>
        <w:jc w:val="both"/>
      </w:pPr>
      <w:r>
        <w:rPr>
          <w:rFonts w:ascii="Arial" w:cs="Arial" w:eastAsia="Arial" w:hAnsi="Arial"/>
          <w:sz w:val="24"/>
          <w:szCs w:val="24"/>
        </w:rPr>
        <w:t xml:space="preserve">- при предоставлении заявителем сертификата или протокола анализа испытаний заявленных лекарственных препаратов, если испытания проведены за последние шесть месяцев к дате подачи заявки в лаборатории, имеющую действующий аттестат аккредитации по международному стандарту ISO 17025 на момент проведения испытаний и находящейся на территории государств - членов ЕАЭС и область аккредитации которой предусматривает анализ/испытание заявляемых лекарственных средств.</w:t>
      </w:r>
    </w:p>
    <w:p>
      <w:pPr>
        <w:spacing w:after="120"/>
        <w:jc w:val="both"/>
      </w:pPr>
      <w:r>
        <w:rPr>
          <w:rFonts w:ascii="Arial" w:cs="Arial" w:eastAsia="Arial" w:hAnsi="Arial"/>
          <w:sz w:val="24"/>
          <w:szCs w:val="24"/>
        </w:rPr>
        <w:t xml:space="preserve">23. Фармацевтическая экспертиза регистрационного досье лекарственного средства включает:</w:t>
      </w:r>
    </w:p>
    <w:p>
      <w:pPr>
        <w:spacing w:after="120"/>
        <w:jc w:val="both"/>
      </w:pPr>
      <w:r>
        <w:rPr>
          <w:rFonts w:ascii="Arial" w:cs="Arial" w:eastAsia="Arial" w:hAnsi="Arial"/>
          <w:sz w:val="24"/>
          <w:szCs w:val="24"/>
        </w:rPr>
        <w:t xml:space="preserve">1) анализ состава лекарственного средства и заключение о его рациональности (фармацевтическая разработка), совместимости лекарственных субстанций и вспомогательных веществ;</w:t>
      </w:r>
    </w:p>
    <w:p>
      <w:pPr>
        <w:spacing w:after="120"/>
        <w:jc w:val="both"/>
      </w:pPr>
      <w:r>
        <w:rPr>
          <w:rFonts w:ascii="Arial" w:cs="Arial" w:eastAsia="Arial" w:hAnsi="Arial"/>
          <w:sz w:val="24"/>
          <w:szCs w:val="24"/>
        </w:rPr>
        <w:t xml:space="preserve">2) оценку производства лекарственного средства (производственная рецептура, технологии производства, контроля в процессе производства, валидации производственных процессов);</w:t>
      </w:r>
    </w:p>
    <w:p>
      <w:pPr>
        <w:spacing w:after="120"/>
        <w:jc w:val="both"/>
      </w:pPr>
      <w:r>
        <w:rPr>
          <w:rFonts w:ascii="Arial" w:cs="Arial" w:eastAsia="Arial" w:hAnsi="Arial"/>
          <w:sz w:val="24"/>
          <w:szCs w:val="24"/>
        </w:rPr>
        <w:t xml:space="preserve">3) анализ готового продукта (соответствие параметров, указанных в сертификате качества/протоколе испытаний на готовую продукцию, описанным методикам контроля качества в нормативном документе по качеству, анализ протокола аккредитованной испытательной лаборатории, оценка возможности воспроизводства и объективности методик контроля качества);</w:t>
      </w:r>
    </w:p>
    <w:p>
      <w:pPr>
        <w:spacing w:after="120"/>
        <w:jc w:val="both"/>
      </w:pPr>
      <w:r>
        <w:rPr>
          <w:rFonts w:ascii="Arial" w:cs="Arial" w:eastAsia="Arial" w:hAnsi="Arial"/>
          <w:sz w:val="24"/>
          <w:szCs w:val="24"/>
        </w:rPr>
        <w:t xml:space="preserve">4) определение стабильности лекарственного средства, обоснованности заявленных условий и срока хранения, периода применения после первого вскрытия упаковки или растворения;</w:t>
      </w:r>
    </w:p>
    <w:p>
      <w:pPr>
        <w:spacing w:after="120"/>
        <w:jc w:val="both"/>
      </w:pPr>
      <w:r>
        <w:rPr>
          <w:rFonts w:ascii="Arial" w:cs="Arial" w:eastAsia="Arial" w:hAnsi="Arial"/>
          <w:sz w:val="24"/>
          <w:szCs w:val="24"/>
        </w:rPr>
        <w:t xml:space="preserve">5) определение соответствия маркировки и упаковки на предмет их достаточности для обеспечения сохранения качества лекарственного средства во время хранения и транспортировки;</w:t>
      </w:r>
    </w:p>
    <w:p>
      <w:pPr>
        <w:spacing w:after="120"/>
        <w:jc w:val="both"/>
      </w:pPr>
      <w:r>
        <w:rPr>
          <w:rFonts w:ascii="Arial" w:cs="Arial" w:eastAsia="Arial" w:hAnsi="Arial"/>
          <w:sz w:val="24"/>
          <w:szCs w:val="24"/>
        </w:rPr>
        <w:t xml:space="preserve">6) определение отсутствия в названии лекарственного средства рекламной информации относительно использования лекарственного средства и представления его как уникального, эффективного, безопасного и исключительного по отсутствию побочных действий;</w:t>
      </w:r>
    </w:p>
    <w:p>
      <w:pPr>
        <w:spacing w:after="120"/>
        <w:jc w:val="both"/>
      </w:pPr>
      <w:r>
        <w:rPr>
          <w:rFonts w:ascii="Arial" w:cs="Arial" w:eastAsia="Arial" w:hAnsi="Arial"/>
          <w:sz w:val="24"/>
          <w:szCs w:val="24"/>
        </w:rPr>
        <w:t xml:space="preserve">7) анализ состава и названия лекарственной формы, макетов упаковок на предмет соответствия сведений об условиях хранения, сроке хранения, периода применения после первого вскрытия упаковки или растворения, наличие необходимых предупредительных надписей.</w:t>
      </w:r>
    </w:p>
    <w:p>
      <w:pPr>
        <w:spacing w:after="120"/>
        <w:jc w:val="both"/>
      </w:pPr>
      <w:r>
        <w:rPr>
          <w:rFonts w:ascii="Arial" w:cs="Arial" w:eastAsia="Arial" w:hAnsi="Arial"/>
          <w:sz w:val="24"/>
          <w:szCs w:val="24"/>
        </w:rPr>
        <w:t xml:space="preserve">24. При проведении фармацевтической экспертизы в качестве руководящих стандартов используются надлежащая производственная практика, релевантные руководства по экспертизе качества отдельных видов лекарственных препаратов и руководства, принятые в ЕАЭС, или Всемирной организацией здравоохранения, или Европейским медицинским агентством, или странами ICH.</w:t>
      </w:r>
    </w:p>
    <w:p>
      <w:pPr>
        <w:spacing w:after="120"/>
        <w:jc w:val="both"/>
      </w:pPr>
      <w:r>
        <w:rPr>
          <w:rFonts w:ascii="Arial" w:cs="Arial" w:eastAsia="Arial" w:hAnsi="Arial"/>
          <w:sz w:val="24"/>
          <w:szCs w:val="24"/>
        </w:rPr>
        <w:t xml:space="preserve">25. По результатам фармацевтической экспертизы уполномоченным органом составляется экспертное заключение о качестве лекарственного средства по форме, утвержденной уполномоченным органом.</w:t>
      </w:r>
    </w:p>
    <w:p>
      <w:pPr>
        <w:spacing w:after="120"/>
        <w:jc w:val="both"/>
      </w:pPr>
      <w:r>
        <w:rPr>
          <w:rFonts w:ascii="Arial" w:cs="Arial" w:eastAsia="Arial" w:hAnsi="Arial"/>
          <w:sz w:val="24"/>
          <w:szCs w:val="24"/>
        </w:rPr>
        <w:t xml:space="preserve">26. Фармакологическая экспертиза регистрационного досье лекарственного средства включает:</w:t>
      </w:r>
    </w:p>
    <w:p>
      <w:pPr>
        <w:spacing w:after="120"/>
        <w:jc w:val="both"/>
      </w:pPr>
      <w:r>
        <w:rPr>
          <w:rFonts w:ascii="Arial" w:cs="Arial" w:eastAsia="Arial" w:hAnsi="Arial"/>
          <w:sz w:val="24"/>
          <w:szCs w:val="24"/>
        </w:rPr>
        <w:t xml:space="preserve">1) анализ состава комбинированного лекарственного средства и заключение о его рациональности, целесообразности и совместимости лекарственных субстанций;</w:t>
      </w:r>
    </w:p>
    <w:p>
      <w:pPr>
        <w:spacing w:after="120"/>
        <w:jc w:val="both"/>
      </w:pPr>
      <w:r>
        <w:rPr>
          <w:rFonts w:ascii="Arial" w:cs="Arial" w:eastAsia="Arial" w:hAnsi="Arial"/>
          <w:sz w:val="24"/>
          <w:szCs w:val="24"/>
        </w:rPr>
        <w:t xml:space="preserve">2) анализ проекта инструкции по медицинскому применению лекарственного препарата и содержания основных разделов - оценку достоверности, обоснованности и соответствия информации научно-доказанным сведениям о лекарственном средстве;</w:t>
      </w:r>
    </w:p>
    <w:p>
      <w:pPr>
        <w:spacing w:after="120"/>
        <w:jc w:val="both"/>
      </w:pPr>
      <w:r>
        <w:rPr>
          <w:rFonts w:ascii="Arial" w:cs="Arial" w:eastAsia="Arial" w:hAnsi="Arial"/>
          <w:sz w:val="24"/>
          <w:szCs w:val="24"/>
        </w:rPr>
        <w:t xml:space="preserve">3) оценку правильности определения фармакотерапевтической группы и присвоения кода анатомо-терапевтическо-химической классификации с учетом установленных фармакологических свойств и клинической эффективности лекарственного средства;</w:t>
      </w:r>
    </w:p>
    <w:p>
      <w:pPr>
        <w:spacing w:after="120"/>
        <w:jc w:val="both"/>
      </w:pPr>
      <w:r>
        <w:rPr>
          <w:rFonts w:ascii="Arial" w:cs="Arial" w:eastAsia="Arial" w:hAnsi="Arial"/>
          <w:sz w:val="24"/>
          <w:szCs w:val="24"/>
        </w:rPr>
        <w:t xml:space="preserve">4) определение условий отпуска (по рецепту, без рецепта);</w:t>
      </w:r>
    </w:p>
    <w:p>
      <w:pPr>
        <w:spacing w:after="120"/>
        <w:jc w:val="both"/>
      </w:pPr>
      <w:r>
        <w:rPr>
          <w:rFonts w:ascii="Arial" w:cs="Arial" w:eastAsia="Arial" w:hAnsi="Arial"/>
          <w:sz w:val="24"/>
          <w:szCs w:val="24"/>
        </w:rPr>
        <w:t xml:space="preserve">5) анализ обзора и резюме доклинических, клинических и биофармацевтических исследований (в случае воспроизведенных препаратов);</w:t>
      </w:r>
    </w:p>
    <w:p>
      <w:pPr>
        <w:spacing w:after="120"/>
        <w:jc w:val="both"/>
      </w:pPr>
      <w:r>
        <w:rPr>
          <w:rFonts w:ascii="Arial" w:cs="Arial" w:eastAsia="Arial" w:hAnsi="Arial"/>
          <w:sz w:val="24"/>
          <w:szCs w:val="24"/>
        </w:rPr>
        <w:t xml:space="preserve">6) анализ отчетов доклинических исследований - оценку результатов исследований общетоксического действия и специфической токсичности, фармакодинамических и фармакокинетических свойств лекарственного препарата на экспериментальных животных в соответствии с требованиями надлежащей лабораторной практики и релевантных руководств по экспертизе доклинической документации отдельных видов лекарственных средств;</w:t>
      </w:r>
    </w:p>
    <w:p>
      <w:pPr>
        <w:spacing w:after="120"/>
        <w:jc w:val="both"/>
      </w:pPr>
      <w:r>
        <w:rPr>
          <w:rFonts w:ascii="Arial" w:cs="Arial" w:eastAsia="Arial" w:hAnsi="Arial"/>
          <w:sz w:val="24"/>
          <w:szCs w:val="24"/>
        </w:rPr>
        <w:t xml:space="preserve">7) анализ отчетов клинических исследований - оценку результатов фармакокинетических, фармакодинамических, клинических исследований эффективности и безопасности лекарственного средства в соответствии с требованиями надлежащей клинической практики и релевантных руководств по экспертизе клинической документации отдельных видов лекарственных средств;</w:t>
      </w:r>
    </w:p>
    <w:p>
      <w:pPr>
        <w:spacing w:after="120"/>
        <w:jc w:val="both"/>
      </w:pPr>
      <w:r>
        <w:rPr>
          <w:rFonts w:ascii="Arial" w:cs="Arial" w:eastAsia="Arial" w:hAnsi="Arial"/>
          <w:sz w:val="24"/>
          <w:szCs w:val="24"/>
        </w:rPr>
        <w:t xml:space="preserve">8) анализ отчетов сравнительных фармакокинетических, фармакодинамических, клинических исследований эквивалентности лекарственного препарата оригинальному/референтному препарату на людях ин виво (in vivo), а также сравнительных исследований ин витро (in vitro), в случае регистрации воспроизведенных препаратов в соответствии с требованиями надлежащей клинической практики и релевантных руководств по оценке эквивалентности воспроизведенных лекарственных средств;</w:t>
      </w:r>
    </w:p>
    <w:p>
      <w:pPr>
        <w:spacing w:after="120"/>
        <w:jc w:val="both"/>
      </w:pPr>
      <w:r>
        <w:rPr>
          <w:rFonts w:ascii="Arial" w:cs="Arial" w:eastAsia="Arial" w:hAnsi="Arial"/>
          <w:sz w:val="24"/>
          <w:szCs w:val="24"/>
        </w:rPr>
        <w:t xml:space="preserve">9) анализ отчетов об опыте применения лекарственного средства, ранее зарегистрированного в других странах, а также оценку опубликованных и неопубликованных данных относительно опыта клинического применения лекарственного средства;</w:t>
      </w:r>
    </w:p>
    <w:p>
      <w:pPr>
        <w:spacing w:after="120"/>
        <w:jc w:val="both"/>
      </w:pPr>
      <w:r>
        <w:rPr>
          <w:rFonts w:ascii="Arial" w:cs="Arial" w:eastAsia="Arial" w:hAnsi="Arial"/>
          <w:sz w:val="24"/>
          <w:szCs w:val="24"/>
        </w:rPr>
        <w:t xml:space="preserve">10) оценку системы фармаконадзора и плана управления рисками держателя регистрационного удостоверения в соответствии с правилами надлежащей практики фармаконадзора.</w:t>
      </w:r>
    </w:p>
    <w:p>
      <w:pPr>
        <w:spacing w:after="120"/>
        <w:jc w:val="both"/>
      </w:pPr>
      <w:r>
        <w:rPr>
          <w:rFonts w:ascii="Arial" w:cs="Arial" w:eastAsia="Arial" w:hAnsi="Arial"/>
          <w:sz w:val="24"/>
          <w:szCs w:val="24"/>
        </w:rPr>
        <w:t xml:space="preserve">27. При проведении фармакологической экспертизы в качестве руководящих стандартов используются надлежащая лабораторная практика, надлежащая клиническая практика, надлежащая практика фармаконадзора, релевантные руководства по экспертизе доклинической и клинической документации отдельных видов лекарственных препаратов и другие руководства, принятые в ЕАЭС, или Всемирной организацией здравоохранения, или Европейским медицинским агентством, или странами ICH.</w:t>
      </w:r>
    </w:p>
    <w:p>
      <w:pPr>
        <w:spacing w:after="120"/>
        <w:jc w:val="both"/>
      </w:pPr>
      <w:r>
        <w:rPr>
          <w:rFonts w:ascii="Arial" w:cs="Arial" w:eastAsia="Arial" w:hAnsi="Arial"/>
          <w:sz w:val="24"/>
          <w:szCs w:val="24"/>
        </w:rPr>
        <w:t xml:space="preserve">28. По результатам фармакологической экспертизы уполномоченным органом составляется экспертное заключение о безопасности и эффективности лекарственного средства по форме, утвержденной уполномоченным органом.</w:t>
      </w:r>
    </w:p>
    <w:p>
      <w:pPr>
        <w:spacing w:after="120"/>
        <w:jc w:val="both"/>
      </w:pPr>
      <w:r>
        <w:rPr>
          <w:rFonts w:ascii="Arial" w:cs="Arial" w:eastAsia="Arial" w:hAnsi="Arial"/>
          <w:sz w:val="24"/>
          <w:szCs w:val="24"/>
        </w:rPr>
        <w:t xml:space="preserve">29. При проведении экспертизы качества, безопасности и эффективности лекарственных средств в качестве руководящих стандартов используется надлежащая практика экспертизы (GRevP), принятая Всемирной организацией здравоохранения.</w:t>
      </w:r>
    </w:p>
    <w:p>
      <w:pPr>
        <w:spacing w:after="120"/>
        <w:jc w:val="both"/>
      </w:pPr>
      <w:r>
        <w:rPr>
          <w:rFonts w:ascii="Arial" w:cs="Arial" w:eastAsia="Arial" w:hAnsi="Arial"/>
          <w:sz w:val="24"/>
          <w:szCs w:val="24"/>
        </w:rPr>
        <w:t xml:space="preserve">30. При проведении экспертизы качества, безопасности и эффективности лекарственных средств уполномоченный орган однократно направляет заявителю запрос в письменном и/или электронном виде о предоставлении данных для восполнения и/или уточнения ранее представленных заявителем документов и данных.</w:t>
      </w:r>
    </w:p>
    <w:p>
      <w:pPr>
        <w:spacing w:after="120"/>
        <w:jc w:val="both"/>
      </w:pPr>
      <w:r>
        <w:rPr>
          <w:rFonts w:ascii="Arial" w:cs="Arial" w:eastAsia="Arial" w:hAnsi="Arial"/>
          <w:sz w:val="24"/>
          <w:szCs w:val="24"/>
        </w:rPr>
        <w:t xml:space="preserve">31. После первого запроса последующие запросы допускаются только в случае возникновения дополнительных вопросов, касающихся сведений, представленных заявителем в ответе на предшествующий запрос.</w:t>
      </w:r>
    </w:p>
    <w:p>
      <w:pPr>
        <w:spacing w:after="120"/>
        <w:jc w:val="both"/>
      </w:pPr>
      <w:r>
        <w:rPr>
          <w:rFonts w:ascii="Arial" w:cs="Arial" w:eastAsia="Arial" w:hAnsi="Arial"/>
          <w:sz w:val="24"/>
          <w:szCs w:val="24"/>
        </w:rPr>
        <w:t xml:space="preserve">Если запрашиваемые уполномоченным органом документы и данные не представлены заявителем в уполномоченный орган в течение 90 календарных дней со дня получения заявителем письменного запроса, уполномоченный орган принимает решение об отказе в государственной регистрации лекарственного средства.</w:t>
      </w:r>
    </w:p>
    <w:p>
      <w:pPr>
        <w:spacing w:after="120"/>
        <w:jc w:val="both"/>
      </w:pPr>
      <w:r>
        <w:rPr>
          <w:rFonts w:ascii="Arial" w:cs="Arial" w:eastAsia="Arial" w:hAnsi="Arial"/>
          <w:sz w:val="24"/>
          <w:szCs w:val="24"/>
        </w:rPr>
        <w:t xml:space="preserve">32. Срок предоставления ответа на запрос может быть продлен уполномоченным органом на основании обоснованного ходатайства заявителя, при этом общий срок ответа на запросы не должен превышать 180 календарных дней.</w:t>
      </w:r>
    </w:p>
    <w:p>
      <w:pPr>
        <w:spacing w:after="120"/>
        <w:jc w:val="both"/>
      </w:pPr>
      <w:r>
        <w:rPr>
          <w:rFonts w:ascii="Arial" w:cs="Arial" w:eastAsia="Arial" w:hAnsi="Arial"/>
          <w:sz w:val="24"/>
          <w:szCs w:val="24"/>
        </w:rPr>
        <w:t xml:space="preserve">33. Время, необходимое для рассмотрения и подготовки заявителем ответа, не входит в срок проведения экспертизы.</w:t>
      </w:r>
    </w:p>
    <w:p>
      <w:pPr>
        <w:spacing w:after="120"/>
        <w:jc w:val="both"/>
      </w:pPr>
      <w:r>
        <w:rPr>
          <w:rFonts w:ascii="Arial" w:cs="Arial" w:eastAsia="Arial" w:hAnsi="Arial"/>
          <w:sz w:val="24"/>
          <w:szCs w:val="24"/>
        </w:rPr>
        <w:t xml:space="preserve">34. В случае выявления в ходе проведения экспертизы фактов, ставящих под сомнение достоверность сведений, представленных заявителем в регистрационном досье, уполномоченный орган инициирует проведение инспектирования на соответствие надлежащим фармацевтическим практикам в отношении процессов, документов и данных, послуживших источником недостоверных сведений.</w:t>
      </w:r>
    </w:p>
    <w:p>
      <w:pPr>
        <w:spacing w:after="120"/>
        <w:jc w:val="both"/>
      </w:pPr>
      <w:r>
        <w:rPr>
          <w:rFonts w:ascii="Arial" w:cs="Arial" w:eastAsia="Arial" w:hAnsi="Arial"/>
          <w:sz w:val="24"/>
          <w:szCs w:val="24"/>
        </w:rPr>
        <w:t xml:space="preserve">35. Срок организации и проведения инспектирования не входит в общий срок проведения экспертизы.</w:t>
      </w:r>
    </w:p>
    <w:p>
      <w:pPr>
        <w:spacing w:after="120"/>
        <w:jc w:val="both"/>
      </w:pPr>
      <w:r>
        <w:rPr>
          <w:rFonts w:ascii="Arial" w:cs="Arial" w:eastAsia="Arial" w:hAnsi="Arial"/>
          <w:sz w:val="24"/>
          <w:szCs w:val="24"/>
        </w:rPr>
        <w:t xml:space="preserve">Расходы, связанные с проведением инспектирования, несет заявитель на основании договора, заключаемого с уполномоченным органом.</w:t>
      </w:r>
    </w:p>
    <w:p>
      <w:pPr>
        <w:spacing w:after="120"/>
        <w:jc w:val="both"/>
      </w:pPr>
      <w:r>
        <w:rPr>
          <w:rFonts w:ascii="Arial" w:cs="Arial" w:eastAsia="Arial" w:hAnsi="Arial"/>
          <w:sz w:val="24"/>
          <w:szCs w:val="24"/>
        </w:rPr>
        <w:t xml:space="preserve">36. Уполномоченный орган в срок не позднее 5 рабочих дней со дня составления заключения по результатам экспертизы качества, эффективности и безопасности лекарственного средства принимает решение о государственной регистрации или отказе в государственной регистрации лекарственного средства.</w:t>
      </w:r>
    </w:p>
    <w:p>
      <w:pPr>
        <w:spacing w:after="120"/>
        <w:jc w:val="both"/>
      </w:pPr>
      <w:r>
        <w:rPr>
          <w:rFonts w:ascii="Arial" w:cs="Arial" w:eastAsia="Arial" w:hAnsi="Arial"/>
          <w:sz w:val="24"/>
          <w:szCs w:val="24"/>
        </w:rPr>
        <w:t xml:space="preserve">Регистрационное удостоверение о государственной регистрации лекарственного средства на впервые регистрируемое лекарственное средство выдается сроком на 5 лет, если иное не предусмотрено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37. В срок не позднее 5 рабочих дней со дня принятия уполномоченным органом решения о государственной регистрации лекарственного средства заявителю выдаются под подпись:</w:t>
      </w:r>
    </w:p>
    <w:p>
      <w:pPr>
        <w:spacing w:after="120"/>
        <w:jc w:val="both"/>
      </w:pPr>
      <w:r>
        <w:rPr>
          <w:rFonts w:ascii="Arial" w:cs="Arial" w:eastAsia="Arial" w:hAnsi="Arial"/>
          <w:sz w:val="24"/>
          <w:szCs w:val="24"/>
        </w:rPr>
        <w:t xml:space="preserve">- регистрационное удостоверение о государственной регистрации лекарственного средства, на государственном и официальном языках;</w:t>
      </w:r>
    </w:p>
    <w:p>
      <w:pPr>
        <w:spacing w:after="120"/>
        <w:jc w:val="both"/>
      </w:pPr>
      <w:r>
        <w:rPr>
          <w:rFonts w:ascii="Arial" w:cs="Arial" w:eastAsia="Arial" w:hAnsi="Arial"/>
          <w:sz w:val="24"/>
          <w:szCs w:val="24"/>
        </w:rPr>
        <w:t xml:space="preserve">- инструкция по медицинскому применению лекарственного средства (листок-вкладыш) (далее - инструкция по медицинскому применению) на государственном и официальном языках, утвержденная уполномоченным органом;</w:t>
      </w:r>
    </w:p>
    <w:p>
      <w:pPr>
        <w:spacing w:after="120"/>
        <w:jc w:val="both"/>
      </w:pPr>
      <w:r>
        <w:rPr>
          <w:rFonts w:ascii="Arial" w:cs="Arial" w:eastAsia="Arial" w:hAnsi="Arial"/>
          <w:sz w:val="24"/>
          <w:szCs w:val="24"/>
        </w:rPr>
        <w:t xml:space="preserve">- макеты упаковок, согласованные с уполномоченным органом;</w:t>
      </w:r>
    </w:p>
    <w:p>
      <w:pPr>
        <w:spacing w:after="120"/>
        <w:jc w:val="both"/>
      </w:pPr>
      <w:r>
        <w:rPr>
          <w:rFonts w:ascii="Arial" w:cs="Arial" w:eastAsia="Arial" w:hAnsi="Arial"/>
          <w:sz w:val="24"/>
          <w:szCs w:val="24"/>
        </w:rPr>
        <w:t xml:space="preserve">- нормативный документ по качеству, согласованный с уполномоченным органом.</w:t>
      </w:r>
    </w:p>
    <w:p>
      <w:pPr>
        <w:spacing w:after="120"/>
        <w:jc w:val="both"/>
      </w:pPr>
      <w:r>
        <w:rPr>
          <w:rFonts w:ascii="Arial" w:cs="Arial" w:eastAsia="Arial" w:hAnsi="Arial"/>
          <w:sz w:val="24"/>
          <w:szCs w:val="24"/>
        </w:rPr>
        <w:t xml:space="preserve">38. Основаниями для отказа в государственной регистрации лекарственного средства являются:</w:t>
      </w:r>
    </w:p>
    <w:p>
      <w:pPr>
        <w:spacing w:after="120"/>
        <w:jc w:val="both"/>
      </w:pPr>
      <w:r>
        <w:rPr>
          <w:rFonts w:ascii="Arial" w:cs="Arial" w:eastAsia="Arial" w:hAnsi="Arial"/>
          <w:sz w:val="24"/>
          <w:szCs w:val="24"/>
        </w:rPr>
        <w:t xml:space="preserve">- предоставление заявителем недостоверных сведений;</w:t>
      </w:r>
    </w:p>
    <w:p>
      <w:pPr>
        <w:spacing w:after="120"/>
        <w:jc w:val="both"/>
      </w:pPr>
      <w:r>
        <w:rPr>
          <w:rFonts w:ascii="Arial" w:cs="Arial" w:eastAsia="Arial" w:hAnsi="Arial"/>
          <w:sz w:val="24"/>
          <w:szCs w:val="24"/>
        </w:rPr>
        <w:t xml:space="preserve">- наличие в составе заявленных лекарственных средств, веществ и материалов, запрещенных к применению в Кыргызской Республике;</w:t>
      </w:r>
    </w:p>
    <w:p>
      <w:pPr>
        <w:spacing w:after="120"/>
        <w:jc w:val="both"/>
      </w:pPr>
      <w:r>
        <w:rPr>
          <w:rFonts w:ascii="Arial" w:cs="Arial" w:eastAsia="Arial" w:hAnsi="Arial"/>
          <w:sz w:val="24"/>
          <w:szCs w:val="24"/>
        </w:rPr>
        <w:t xml:space="preserve">- неподтверждение в ходе проведения экспертизы эффективности, безопасности и качества лекарственного средства;</w:t>
      </w:r>
    </w:p>
    <w:p>
      <w:pPr>
        <w:spacing w:after="120"/>
        <w:jc w:val="both"/>
      </w:pPr>
      <w:r>
        <w:rPr>
          <w:rFonts w:ascii="Arial" w:cs="Arial" w:eastAsia="Arial" w:hAnsi="Arial"/>
          <w:sz w:val="24"/>
          <w:szCs w:val="24"/>
        </w:rPr>
        <w:t xml:space="preserve">- получение новых данных во время проведения экспертизы, которые свидетельствуют о преобладании риска от применения лекарственного средства над ожидаемой пользой;</w:t>
      </w:r>
    </w:p>
    <w:p>
      <w:pPr>
        <w:spacing w:after="120"/>
        <w:jc w:val="both"/>
      </w:pPr>
      <w:r>
        <w:rPr>
          <w:rFonts w:ascii="Arial" w:cs="Arial" w:eastAsia="Arial" w:hAnsi="Arial"/>
          <w:sz w:val="24"/>
          <w:szCs w:val="24"/>
        </w:rPr>
        <w:t xml:space="preserve">- отказ заявителя от прохождения инспектирования на соответствие надлежащим фармацевтическим практикам, инициированного уполномоченным органом согласно пункту 34 или непредоставление ответа на уведомления уполномоченного органа в предусмотренные сроки;</w:t>
      </w:r>
    </w:p>
    <w:p>
      <w:pPr>
        <w:spacing w:after="120"/>
        <w:jc w:val="both"/>
      </w:pPr>
      <w:r>
        <w:rPr>
          <w:rFonts w:ascii="Arial" w:cs="Arial" w:eastAsia="Arial" w:hAnsi="Arial"/>
          <w:sz w:val="24"/>
          <w:szCs w:val="24"/>
        </w:rPr>
        <w:t xml:space="preserve">- непредоставление в предусмотренные сроки ответа с приложением плана корректирующих и предупреждающих действий, отчета о его выполнении и данных, свидетельствующих об устранении выявленных несоответствий по результатам инспектирования, в случае, если при проведении инспектирования были установлены критические и (или) существенные несоответствия;</w:t>
      </w:r>
    </w:p>
    <w:p>
      <w:pPr>
        <w:spacing w:after="120"/>
        <w:jc w:val="both"/>
      </w:pPr>
      <w:r>
        <w:rPr>
          <w:rFonts w:ascii="Arial" w:cs="Arial" w:eastAsia="Arial" w:hAnsi="Arial"/>
          <w:sz w:val="24"/>
          <w:szCs w:val="24"/>
        </w:rPr>
        <w:t xml:space="preserve">- неустранение в установленные планом корректирующих и предупреждающих действий сроки всех критических и существенных несоответствий по результатам инспектирования.</w:t>
      </w:r>
    </w:p>
    <w:p>
      <w:pPr>
        <w:spacing w:after="120"/>
        <w:jc w:val="both"/>
      </w:pPr>
      <w:r>
        <w:rPr>
          <w:rFonts w:ascii="Arial" w:cs="Arial" w:eastAsia="Arial" w:hAnsi="Arial"/>
          <w:sz w:val="24"/>
          <w:szCs w:val="24"/>
        </w:rPr>
        <w:t xml:space="preserve">39. Уполномоченный орган не позднее 5 рабочих дней со дня принятия решения об отказе в государственной регистрации лекарственного средства письменно сообщает заявителю о принятом решении.</w:t>
      </w:r>
    </w:p>
    <w:p>
      <w:pPr>
        <w:spacing w:after="120"/>
        <w:jc w:val="both"/>
      </w:pPr>
      <w:r>
        <w:rPr>
          <w:rFonts w:ascii="Arial" w:cs="Arial" w:eastAsia="Arial" w:hAnsi="Arial"/>
          <w:sz w:val="24"/>
          <w:szCs w:val="24"/>
        </w:rPr>
        <w:t xml:space="preserve">40. Отказ уполномоченного органа в государственной регистрации может быть обжалован заявителем в соответствии с законодательством в сфере административной деятельности.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проведения процедуры подтверждения 
 регистрации лекарственного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 окончании срока действия регистрационного удостоверения заявитель подает заявление на подтверждение государственной регистрации.</w:t>
      </w:r>
    </w:p>
    <w:p>
      <w:pPr>
        <w:spacing w:after="120"/>
        <w:jc w:val="both"/>
      </w:pPr>
      <w:r>
        <w:rPr>
          <w:rFonts w:ascii="Arial" w:cs="Arial" w:eastAsia="Arial" w:hAnsi="Arial"/>
          <w:sz w:val="24"/>
          <w:szCs w:val="24"/>
        </w:rPr>
        <w:t xml:space="preserve">42. Заявление должно быть подано не ранее 180 календарных дней до истечения срока действия регистрационного удостоверения, но не позднее последнего дня окончания срока действия регистрационного удостоверения.</w:t>
      </w:r>
    </w:p>
    <w:p>
      <w:pPr>
        <w:spacing w:after="120"/>
        <w:jc w:val="both"/>
      </w:pPr>
      <w:r>
        <w:rPr>
          <w:rFonts w:ascii="Arial" w:cs="Arial" w:eastAsia="Arial" w:hAnsi="Arial"/>
          <w:sz w:val="24"/>
          <w:szCs w:val="24"/>
        </w:rPr>
        <w:t xml:space="preserve">43. В случае одновременной подачи заявления о подтверждении регистрации и внесении изменений в регистрационное досье лекарственных средств, процедуры подтверждения регистрации и внесения изменений проводятся одновременно с внесением оплаты отдельно за каждую процедуру.</w:t>
      </w:r>
    </w:p>
    <w:p>
      <w:pPr>
        <w:spacing w:after="120"/>
        <w:jc w:val="both"/>
      </w:pPr>
      <w:r>
        <w:rPr>
          <w:rFonts w:ascii="Arial" w:cs="Arial" w:eastAsia="Arial" w:hAnsi="Arial"/>
          <w:sz w:val="24"/>
          <w:szCs w:val="24"/>
        </w:rPr>
        <w:t xml:space="preserve">Заявление о подтверждении регистрации, независимо от срока действия регистрационного удостоверения, но не позднее последнего дня окончания срока действия регистрационного удостоверения, может быть подано заявителем на:</w:t>
      </w:r>
    </w:p>
    <w:p>
      <w:pPr>
        <w:spacing w:after="120"/>
        <w:jc w:val="both"/>
      </w:pPr>
      <w:r>
        <w:rPr>
          <w:rFonts w:ascii="Arial" w:cs="Arial" w:eastAsia="Arial" w:hAnsi="Arial"/>
          <w:sz w:val="24"/>
          <w:szCs w:val="24"/>
        </w:rPr>
        <w:t xml:space="preserve">- лекарственные средства, произведенные отечественными производителями;</w:t>
      </w:r>
    </w:p>
    <w:p>
      <w:pPr>
        <w:spacing w:after="120"/>
        <w:jc w:val="both"/>
      </w:pPr>
      <w:r>
        <w:rPr>
          <w:rFonts w:ascii="Arial" w:cs="Arial" w:eastAsia="Arial" w:hAnsi="Arial"/>
          <w:sz w:val="24"/>
          <w:szCs w:val="24"/>
        </w:rPr>
        <w:t xml:space="preserve">- лекарственные средства, преквалифицированные Всемирной организацией здравоохранения, при предоставлении копии документа, подтверждающего факт преквалификации;</w:t>
      </w:r>
    </w:p>
    <w:p>
      <w:pPr>
        <w:spacing w:after="120"/>
        <w:jc w:val="both"/>
      </w:pPr>
      <w:r>
        <w:rPr>
          <w:rFonts w:ascii="Arial" w:cs="Arial" w:eastAsia="Arial" w:hAnsi="Arial"/>
          <w:sz w:val="24"/>
          <w:szCs w:val="24"/>
        </w:rPr>
        <w:t xml:space="preserve">- лекарственные средства, имеющие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 при предоставлении копии документа о регистрации и сопроводительного письма, с указанием ссылки на сайт.</w:t>
      </w:r>
    </w:p>
    <w:p>
      <w:pPr>
        <w:spacing w:after="120"/>
        <w:jc w:val="both"/>
      </w:pPr>
      <w:r>
        <w:rPr>
          <w:rFonts w:ascii="Arial" w:cs="Arial" w:eastAsia="Arial" w:hAnsi="Arial"/>
          <w:sz w:val="24"/>
          <w:szCs w:val="24"/>
        </w:rPr>
        <w:t xml:space="preserve">44. Лекарственные средства, поставленные в Кыргызскую Республику или произведенные в Кыргызской Республике до окончания срока действия регистрационного удостоверения, остаются в обращении до истечения срока их годности.</w:t>
      </w:r>
    </w:p>
    <w:p>
      <w:pPr>
        <w:spacing w:after="120"/>
        <w:jc w:val="both"/>
      </w:pPr>
      <w:r>
        <w:rPr>
          <w:rFonts w:ascii="Arial" w:cs="Arial" w:eastAsia="Arial" w:hAnsi="Arial"/>
          <w:sz w:val="24"/>
          <w:szCs w:val="24"/>
        </w:rPr>
        <w:t xml:space="preserve">45. В случае подтверждения регистрации лекарственного средства или внесения изменений, не затрагивающих аспектов безопасности, качества и эффективности лекарственного средства в регистрационное досье, но затрагивающих изменение макетов упаковок лекарственного средства, инструкции по медицинскому применению, разрешается производство и ввоз лекарственного средства в ранее утвержденных упаковках и с инструкцией по медицинскому применению в течение 180 календарных дней с даты подтверждения регистрации или внесения изменений в соответствии с информацией, содержащейся в документах регистрационного досье, до даты подтверждения регистрации или внесения изменений. Допускается одновременная реализация лекарственного средства до окончания срока его годности в упаковке и с инструкцией по медицинскому применению лекарственного препарата, соответствующей документам и данным регистрационного досье до и после внесения в него изменений, если это не противоречит требованиям правил надлежащей практики фармаконадзора.</w:t>
      </w:r>
    </w:p>
    <w:p>
      <w:pPr>
        <w:spacing w:after="120"/>
        <w:jc w:val="both"/>
      </w:pPr>
      <w:r>
        <w:rPr>
          <w:rFonts w:ascii="Arial" w:cs="Arial" w:eastAsia="Arial" w:hAnsi="Arial"/>
          <w:sz w:val="24"/>
          <w:szCs w:val="24"/>
        </w:rPr>
        <w:t xml:space="preserve">46. Подтверждение государственной регистрации лекарственного средства осуществляется на основании переоценки соотношения "польза - риск".</w:t>
      </w:r>
    </w:p>
    <w:p>
      <w:pPr>
        <w:spacing w:after="120"/>
        <w:jc w:val="both"/>
      </w:pPr>
      <w:r>
        <w:rPr>
          <w:rFonts w:ascii="Arial" w:cs="Arial" w:eastAsia="Arial" w:hAnsi="Arial"/>
          <w:sz w:val="24"/>
          <w:szCs w:val="24"/>
        </w:rPr>
        <w:t xml:space="preserve">Подтверждение регистрации лекарственных средств, преквалифицированных Всемирной организацией здравоохранения, лекарственных средств, имеющих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 а также лекарственных средств, произведенных отечественными производителями, осуществляется в течение 25 календарных дней.</w:t>
      </w:r>
    </w:p>
    <w:p>
      <w:pPr>
        <w:spacing w:after="120"/>
        <w:jc w:val="both"/>
      </w:pPr>
      <w:r>
        <w:rPr>
          <w:rFonts w:ascii="Arial" w:cs="Arial" w:eastAsia="Arial" w:hAnsi="Arial"/>
          <w:sz w:val="24"/>
          <w:szCs w:val="24"/>
        </w:rPr>
        <w:t xml:space="preserve">47. В целях подтверждения государственной регистрации лекарственного средства заявитель представляет в уполномоченный орган заявление по форме, утвержденной уполномоченным органом, с приложением регистрационного досье в формате общего технического документа:</w:t>
      </w:r>
    </w:p>
    <w:p>
      <w:pPr>
        <w:spacing w:after="120"/>
        <w:jc w:val="both"/>
      </w:pPr>
      <w:r>
        <w:rPr>
          <w:rFonts w:ascii="Arial" w:cs="Arial" w:eastAsia="Arial" w:hAnsi="Arial"/>
          <w:sz w:val="24"/>
          <w:szCs w:val="24"/>
        </w:rPr>
        <w:t xml:space="preserve">- Модуль 1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или </w:t>
      </w:r>
      <w:hyperlink w:history="1" r:id="rIda5cgsmqjihaogp0na4zup">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в двух экземплярах в бумажном и электронном виде;</w:t>
      </w:r>
    </w:p>
    <w:p>
      <w:pPr>
        <w:spacing w:after="120"/>
        <w:jc w:val="both"/>
      </w:pPr>
      <w:r>
        <w:rPr>
          <w:rFonts w:ascii="Arial" w:cs="Arial" w:eastAsia="Arial" w:hAnsi="Arial"/>
          <w:sz w:val="24"/>
          <w:szCs w:val="24"/>
        </w:rPr>
        <w:t xml:space="preserve">- Модуль 2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в электронном виде;</w:t>
      </w:r>
    </w:p>
    <w:p>
      <w:pPr>
        <w:spacing w:after="120"/>
        <w:jc w:val="both"/>
      </w:pPr>
      <w:r>
        <w:rPr>
          <w:rFonts w:ascii="Arial" w:cs="Arial" w:eastAsia="Arial" w:hAnsi="Arial"/>
          <w:sz w:val="24"/>
          <w:szCs w:val="24"/>
        </w:rPr>
        <w:t xml:space="preserve">- для отечественных производителей - часть I регистрационного досье согласно </w:t>
      </w:r>
      <w:hyperlink w:history="1" r:id="rIdhaft1ms_jx1m2kuc6pyp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 периодически обновляемые отчеты о безопасности лекарственных средств за период действия регистрационного удостоверения, если это предусмотрено системой фармаконадзора.</w:t>
      </w:r>
    </w:p>
    <w:p>
      <w:pPr>
        <w:spacing w:after="120"/>
        <w:jc w:val="both"/>
      </w:pPr>
      <w:r>
        <w:rPr>
          <w:rFonts w:ascii="Arial" w:cs="Arial" w:eastAsia="Arial" w:hAnsi="Arial"/>
          <w:sz w:val="24"/>
          <w:szCs w:val="24"/>
        </w:rPr>
        <w:t xml:space="preserve">48. Прием заявления и документов регистрационного досье оформляется актом приема-передачи по форме, утвержденной уполномоченным органом.</w:t>
      </w:r>
    </w:p>
    <w:p>
      <w:pPr>
        <w:spacing w:after="120"/>
        <w:jc w:val="both"/>
      </w:pPr>
      <w:r>
        <w:rPr>
          <w:rFonts w:ascii="Arial" w:cs="Arial" w:eastAsia="Arial" w:hAnsi="Arial"/>
          <w:sz w:val="24"/>
          <w:szCs w:val="24"/>
        </w:rPr>
        <w:t xml:space="preserve">49. Уполномоченный орган выставляет счет на оплату в течение 5 рабочих дней с момента приема заявления.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120"/>
        <w:jc w:val="both"/>
      </w:pPr>
      <w:r>
        <w:rPr>
          <w:rFonts w:ascii="Arial" w:cs="Arial" w:eastAsia="Arial" w:hAnsi="Arial"/>
          <w:sz w:val="24"/>
          <w:szCs w:val="24"/>
        </w:rPr>
        <w:t xml:space="preserve">50. Невнесение заявителем оплаты за подтверждение государственной регистрации лекарственного средства в установленный срок влечет отказ в государственной регистрации. Возврат регистрационного досье с оформлением акта приема-передачи осуществляется по запросу заявителя.</w:t>
      </w:r>
    </w:p>
    <w:p>
      <w:pPr>
        <w:spacing w:after="120"/>
        <w:jc w:val="both"/>
      </w:pPr>
      <w:r>
        <w:rPr>
          <w:rFonts w:ascii="Arial" w:cs="Arial" w:eastAsia="Arial" w:hAnsi="Arial"/>
          <w:sz w:val="24"/>
          <w:szCs w:val="24"/>
        </w:rPr>
        <w:t xml:space="preserve">51. Подтверждение государственной регистрации лекарственных средств проводится уполномоченным органом в срок, не превышающий 90 календарных дней с даты подтверждения оплаты.</w:t>
      </w:r>
    </w:p>
    <w:p>
      <w:pPr>
        <w:spacing w:after="120"/>
        <w:jc w:val="both"/>
      </w:pPr>
      <w:r>
        <w:rPr>
          <w:rFonts w:ascii="Arial" w:cs="Arial" w:eastAsia="Arial" w:hAnsi="Arial"/>
          <w:sz w:val="24"/>
          <w:szCs w:val="24"/>
        </w:rPr>
        <w:t xml:space="preserve">52. Если в период проведения экспертизы регистрационных материалов обнаруживаются данные, требующие уточнения, уполномоченный орган направляет однократный запрос держателю регистрационного удостоверения о предоставлении необходимой информации или данных в срок, не превышающий 60 календарных дней.</w:t>
      </w:r>
    </w:p>
    <w:p>
      <w:pPr>
        <w:spacing w:after="120"/>
        <w:jc w:val="both"/>
      </w:pPr>
      <w:r>
        <w:rPr>
          <w:rFonts w:ascii="Arial" w:cs="Arial" w:eastAsia="Arial" w:hAnsi="Arial"/>
          <w:sz w:val="24"/>
          <w:szCs w:val="24"/>
        </w:rPr>
        <w:t xml:space="preserve">53. В срок проведения экспертизы не входит время подготовки и представления заявителем ответа на запрос уполномоченного органа.</w:t>
      </w:r>
    </w:p>
    <w:p>
      <w:pPr>
        <w:spacing w:after="120"/>
        <w:jc w:val="both"/>
      </w:pPr>
      <w:r>
        <w:rPr>
          <w:rFonts w:ascii="Arial" w:cs="Arial" w:eastAsia="Arial" w:hAnsi="Arial"/>
          <w:sz w:val="24"/>
          <w:szCs w:val="24"/>
        </w:rPr>
        <w:t xml:space="preserve">54. После первого запроса последующий запрос уполномоченного органа допускается в случае возникновения дополнительных вопросов, касающихся сведений, представленных заявителем в ответе на предшествующий запрос уполномоченного органа.</w:t>
      </w:r>
    </w:p>
    <w:p>
      <w:pPr>
        <w:spacing w:after="120"/>
        <w:jc w:val="both"/>
      </w:pPr>
      <w:r>
        <w:rPr>
          <w:rFonts w:ascii="Arial" w:cs="Arial" w:eastAsia="Arial" w:hAnsi="Arial"/>
          <w:sz w:val="24"/>
          <w:szCs w:val="24"/>
        </w:rPr>
        <w:t xml:space="preserve">55. На основании проведенных фармацевтической и фармакологической экспертиз уполномоченный орган принимает решение о подтверждении государственной регистрации лекарственного средства с выдачей заявителю бессрочного регистрационного удостоверения лекарственного средства или отказ в подтверждении государственной регистрации лекарственного средства.</w:t>
      </w:r>
    </w:p>
    <w:p>
      <w:pPr>
        <w:spacing w:after="120"/>
        <w:jc w:val="both"/>
      </w:pPr>
      <w:r>
        <w:rPr>
          <w:rFonts w:ascii="Arial" w:cs="Arial" w:eastAsia="Arial" w:hAnsi="Arial"/>
          <w:sz w:val="24"/>
          <w:szCs w:val="24"/>
        </w:rPr>
        <w:t xml:space="preserve">56. Срок выдачи бессрочного регистрационного удостоверения не должен превышать 5 рабочих дней со дня принятия решения о подтверждении государственной регистрации лекарственного средства.</w:t>
      </w:r>
    </w:p>
    <w:p>
      <w:pPr>
        <w:spacing w:after="120"/>
        <w:jc w:val="both"/>
      </w:pPr>
      <w:r>
        <w:rPr>
          <w:rFonts w:ascii="Arial" w:cs="Arial" w:eastAsia="Arial" w:hAnsi="Arial"/>
          <w:sz w:val="24"/>
          <w:szCs w:val="24"/>
        </w:rPr>
        <w:t xml:space="preserve">57. К регистрационному удостоверению прилагаются:</w:t>
      </w:r>
    </w:p>
    <w:p>
      <w:pPr>
        <w:spacing w:after="120"/>
        <w:jc w:val="both"/>
      </w:pPr>
      <w:r>
        <w:rPr>
          <w:rFonts w:ascii="Arial" w:cs="Arial" w:eastAsia="Arial" w:hAnsi="Arial"/>
          <w:sz w:val="24"/>
          <w:szCs w:val="24"/>
        </w:rPr>
        <w:t xml:space="preserve">- инструкция по медицинскому применению (листок-вкладыш), на государственном и официальном языках, утвержденная уполномоченным органом;</w:t>
      </w:r>
    </w:p>
    <w:p>
      <w:pPr>
        <w:spacing w:after="120"/>
        <w:jc w:val="both"/>
      </w:pPr>
      <w:r>
        <w:rPr>
          <w:rFonts w:ascii="Arial" w:cs="Arial" w:eastAsia="Arial" w:hAnsi="Arial"/>
          <w:sz w:val="24"/>
          <w:szCs w:val="24"/>
        </w:rPr>
        <w:t xml:space="preserve">- макеты упаковок, согласованные уполномоченным органом;</w:t>
      </w:r>
    </w:p>
    <w:p>
      <w:pPr>
        <w:spacing w:after="120"/>
        <w:jc w:val="both"/>
      </w:pPr>
      <w:r>
        <w:rPr>
          <w:rFonts w:ascii="Arial" w:cs="Arial" w:eastAsia="Arial" w:hAnsi="Arial"/>
          <w:sz w:val="24"/>
          <w:szCs w:val="24"/>
        </w:rPr>
        <w:t xml:space="preserve">- нормативный документ по качеству, согласованный уполномоченным органом.</w:t>
      </w:r>
    </w:p>
    <w:p>
      <w:pPr>
        <w:spacing w:after="120"/>
        <w:jc w:val="both"/>
      </w:pPr>
      <w:r>
        <w:rPr>
          <w:rFonts w:ascii="Arial" w:cs="Arial" w:eastAsia="Arial" w:hAnsi="Arial"/>
          <w:sz w:val="24"/>
          <w:szCs w:val="24"/>
        </w:rPr>
        <w:t xml:space="preserve">58. Основаниями для отказа в подтверждении государственной регистрации лекарственного средства уполномоченным органом являются:</w:t>
      </w:r>
    </w:p>
    <w:p>
      <w:pPr>
        <w:spacing w:after="120"/>
        <w:jc w:val="both"/>
      </w:pPr>
      <w:r>
        <w:rPr>
          <w:rFonts w:ascii="Arial" w:cs="Arial" w:eastAsia="Arial" w:hAnsi="Arial"/>
          <w:sz w:val="24"/>
          <w:szCs w:val="24"/>
        </w:rPr>
        <w:t xml:space="preserve">- доказанное неблагоприятное соотношение "польза - риск" или выявленное отсутствие терапевтической эффективности при соблюдении условий применения лекарственного средства, описанных в инструкции по медицинскому применению лекарственного препарата;</w:t>
      </w:r>
    </w:p>
    <w:p>
      <w:pPr>
        <w:spacing w:after="120"/>
        <w:jc w:val="both"/>
      </w:pPr>
      <w:r>
        <w:rPr>
          <w:rFonts w:ascii="Arial" w:cs="Arial" w:eastAsia="Arial" w:hAnsi="Arial"/>
          <w:sz w:val="24"/>
          <w:szCs w:val="24"/>
        </w:rPr>
        <w:t xml:space="preserve">- установленные по данным фармаконадзора факты, указывающие на неблагоприятное соотношение "польза - риск" (в том числе значительное превышение частоты репортирования тех или иных нежелательных реакций по сравнению с данными, указанными в утвержденной инструкции по медицинскому применению лекарственного препарата);</w:t>
      </w:r>
    </w:p>
    <w:p>
      <w:pPr>
        <w:spacing w:after="120"/>
        <w:jc w:val="both"/>
      </w:pPr>
      <w:r>
        <w:rPr>
          <w:rFonts w:ascii="Arial" w:cs="Arial" w:eastAsia="Arial" w:hAnsi="Arial"/>
          <w:sz w:val="24"/>
          <w:szCs w:val="24"/>
        </w:rPr>
        <w:t xml:space="preserve">- недостоверные или неактуализированные данные в предоставленных документах на подтверждение государственной регистрации лекарственного средства;</w:t>
      </w:r>
    </w:p>
    <w:p>
      <w:pPr>
        <w:spacing w:after="120"/>
        <w:jc w:val="both"/>
      </w:pPr>
      <w:r>
        <w:rPr>
          <w:rFonts w:ascii="Arial" w:cs="Arial" w:eastAsia="Arial" w:hAnsi="Arial"/>
          <w:sz w:val="24"/>
          <w:szCs w:val="24"/>
        </w:rPr>
        <w:t xml:space="preserve">- неустранение заявителем замечаний или непредоставление в течение отведенного времени ответа на вопросы, возникшие во время проведения экспертизы лекарственного препарата;</w:t>
      </w:r>
    </w:p>
    <w:p>
      <w:pPr>
        <w:spacing w:after="120"/>
        <w:jc w:val="both"/>
      </w:pPr>
      <w:r>
        <w:rPr>
          <w:rFonts w:ascii="Arial" w:cs="Arial" w:eastAsia="Arial" w:hAnsi="Arial"/>
          <w:sz w:val="24"/>
          <w:szCs w:val="24"/>
        </w:rPr>
        <w:t xml:space="preserve">- невыполнение обязательств по фармаконадзору.</w:t>
      </w:r>
    </w:p>
    <w:p>
      <w:pPr>
        <w:spacing w:after="120"/>
        <w:jc w:val="both"/>
      </w:pPr>
      <w:r>
        <w:rPr>
          <w:rFonts w:ascii="Arial" w:cs="Arial" w:eastAsia="Arial" w:hAnsi="Arial"/>
          <w:sz w:val="24"/>
          <w:szCs w:val="24"/>
        </w:rPr>
        <w:t xml:space="preserve">59. Уполномоченный орган не позднее 5 рабочих дней со дня принятия решения об отказе в государственной регистрации лекарственного средства письменно сообщает заявителю о принятом решении.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Процедура внесения изменений в регистрационное 
 досье зарегистрированного лекарственного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Держатель регистрационного удостоверения лекарственного средства обязан сообщить в уполномоченный государственный орган обо всех изменениях относительно данных зарегистрированного лекарственного средства, заявленных при регистрации, с предоставлением исчерпывающей информации о причинах этих изменений и их возможном влиянии на эффективность, безопасность, качество лекарственного средства.</w:t>
      </w:r>
    </w:p>
    <w:p>
      <w:pPr>
        <w:spacing w:after="120"/>
        <w:jc w:val="both"/>
      </w:pPr>
      <w:r>
        <w:rPr>
          <w:rFonts w:ascii="Arial" w:cs="Arial" w:eastAsia="Arial" w:hAnsi="Arial"/>
          <w:sz w:val="24"/>
          <w:szCs w:val="24"/>
        </w:rPr>
        <w:t xml:space="preserve">61. Вносимые изменения в регистрационное досье зарегистрированного лекарственного препарата не должны менять положительное соотношение "польза - риск" лекарственного препарата.</w:t>
      </w:r>
    </w:p>
    <w:p>
      <w:pPr>
        <w:spacing w:after="120"/>
        <w:jc w:val="both"/>
      </w:pPr>
      <w:r>
        <w:rPr>
          <w:rFonts w:ascii="Arial" w:cs="Arial" w:eastAsia="Arial" w:hAnsi="Arial"/>
          <w:sz w:val="24"/>
          <w:szCs w:val="24"/>
        </w:rPr>
        <w:t xml:space="preserve">62. Заявление о внесении изменений в регистрационное досье лекарственного средства подается заявителем по форме, утвержденной уполномоченным органом.</w:t>
      </w:r>
    </w:p>
    <w:p>
      <w:pPr>
        <w:spacing w:after="120"/>
        <w:jc w:val="both"/>
      </w:pPr>
      <w:r>
        <w:rPr>
          <w:rFonts w:ascii="Arial" w:cs="Arial" w:eastAsia="Arial" w:hAnsi="Arial"/>
          <w:sz w:val="24"/>
          <w:szCs w:val="24"/>
        </w:rPr>
        <w:t xml:space="preserve">63. К заявлению прилагаются документы, подтверждающие и/или обосновывающие внесение изменений.</w:t>
      </w:r>
    </w:p>
    <w:p>
      <w:pPr>
        <w:spacing w:after="120"/>
        <w:jc w:val="both"/>
      </w:pPr>
      <w:r>
        <w:rPr>
          <w:rFonts w:ascii="Arial" w:cs="Arial" w:eastAsia="Arial" w:hAnsi="Arial"/>
          <w:sz w:val="24"/>
          <w:szCs w:val="24"/>
        </w:rPr>
        <w:t xml:space="preserve">64. Все изменения, за исключением предусмотренных пунктом 65, вносятся в регистрационное досье по процедуре внесения изменений.</w:t>
      </w:r>
    </w:p>
    <w:p>
      <w:pPr>
        <w:spacing w:after="120"/>
        <w:jc w:val="both"/>
      </w:pPr>
      <w:r>
        <w:rPr>
          <w:rFonts w:ascii="Arial" w:cs="Arial" w:eastAsia="Arial" w:hAnsi="Arial"/>
          <w:sz w:val="24"/>
          <w:szCs w:val="24"/>
        </w:rPr>
        <w:t xml:space="preserve">При внесении изменений в регистрационное досье в случае замены (переноса) или добавления производственной площадки для части или всех процессов производства лекарственного средства, уполномоченный орган вправе инициировать проведение инспектирования производственной площадки на соответствие требованиям правил надлежащей производственной практики, если в ходе проведения экспертизы вносимых изменений выявляются факты, ставящие под сомнение достоверность сведений, представленных заявителем.</w:t>
      </w:r>
    </w:p>
    <w:p>
      <w:pPr>
        <w:spacing w:after="120"/>
        <w:jc w:val="both"/>
      </w:pPr>
      <w:r>
        <w:rPr>
          <w:rFonts w:ascii="Arial" w:cs="Arial" w:eastAsia="Arial" w:hAnsi="Arial"/>
          <w:sz w:val="24"/>
          <w:szCs w:val="24"/>
        </w:rPr>
        <w:t xml:space="preserve">65. Изменения, которые требуют новой государственной регистрации лекарственного средства:</w:t>
      </w:r>
    </w:p>
    <w:p>
      <w:pPr>
        <w:spacing w:after="120"/>
        <w:jc w:val="both"/>
      </w:pPr>
      <w:r>
        <w:rPr>
          <w:rFonts w:ascii="Arial" w:cs="Arial" w:eastAsia="Arial" w:hAnsi="Arial"/>
          <w:sz w:val="24"/>
          <w:szCs w:val="24"/>
        </w:rPr>
        <w:t xml:space="preserve">1) добавление одного или более активных веществ;</w:t>
      </w:r>
    </w:p>
    <w:p>
      <w:pPr>
        <w:spacing w:after="120"/>
        <w:jc w:val="both"/>
      </w:pPr>
      <w:r>
        <w:rPr>
          <w:rFonts w:ascii="Arial" w:cs="Arial" w:eastAsia="Arial" w:hAnsi="Arial"/>
          <w:sz w:val="24"/>
          <w:szCs w:val="24"/>
        </w:rPr>
        <w:t xml:space="preserve">2) удаление одного или более активных веществ;</w:t>
      </w:r>
    </w:p>
    <w:p>
      <w:pPr>
        <w:spacing w:after="120"/>
        <w:jc w:val="both"/>
      </w:pPr>
      <w:r>
        <w:rPr>
          <w:rFonts w:ascii="Arial" w:cs="Arial" w:eastAsia="Arial" w:hAnsi="Arial"/>
          <w:sz w:val="24"/>
          <w:szCs w:val="24"/>
        </w:rPr>
        <w:t xml:space="preserve">3) количественные изменения активных веществ;</w:t>
      </w:r>
    </w:p>
    <w:p>
      <w:pPr>
        <w:spacing w:after="120"/>
        <w:jc w:val="both"/>
      </w:pPr>
      <w:r>
        <w:rPr>
          <w:rFonts w:ascii="Arial" w:cs="Arial" w:eastAsia="Arial" w:hAnsi="Arial"/>
          <w:sz w:val="24"/>
          <w:szCs w:val="24"/>
        </w:rPr>
        <w:t xml:space="preserve">4) замена активного вещества на его солевое или изомерное производное с тем же терапевтическим эффектом;</w:t>
      </w:r>
    </w:p>
    <w:p>
      <w:pPr>
        <w:spacing w:after="120"/>
        <w:jc w:val="both"/>
      </w:pPr>
      <w:r>
        <w:rPr>
          <w:rFonts w:ascii="Arial" w:cs="Arial" w:eastAsia="Arial" w:hAnsi="Arial"/>
          <w:sz w:val="24"/>
          <w:szCs w:val="24"/>
        </w:rPr>
        <w:t xml:space="preserve">5) замена изомеров активных веществ и их смесей;</w:t>
      </w:r>
    </w:p>
    <w:p>
      <w:pPr>
        <w:spacing w:after="120"/>
        <w:jc w:val="both"/>
      </w:pPr>
      <w:r>
        <w:rPr>
          <w:rFonts w:ascii="Arial" w:cs="Arial" w:eastAsia="Arial" w:hAnsi="Arial"/>
          <w:sz w:val="24"/>
          <w:szCs w:val="24"/>
        </w:rPr>
        <w:t xml:space="preserve">6) замена активного вещества, выделенного из природных источников или полученного биотехнологическим путем, веществом или продуктом, полученным другим путем;</w:t>
      </w:r>
    </w:p>
    <w:p>
      <w:pPr>
        <w:spacing w:after="120"/>
        <w:jc w:val="both"/>
      </w:pPr>
      <w:r>
        <w:rPr>
          <w:rFonts w:ascii="Arial" w:cs="Arial" w:eastAsia="Arial" w:hAnsi="Arial"/>
          <w:sz w:val="24"/>
          <w:szCs w:val="24"/>
        </w:rPr>
        <w:t xml:space="preserve">7) изменение формы выпуска, дозировки, состава активного(ых) вещества(в) лекарственного средства;</w:t>
      </w:r>
    </w:p>
    <w:p>
      <w:pPr>
        <w:spacing w:after="120"/>
        <w:jc w:val="both"/>
      </w:pPr>
      <w:r>
        <w:rPr>
          <w:rFonts w:ascii="Arial" w:cs="Arial" w:eastAsia="Arial" w:hAnsi="Arial"/>
          <w:sz w:val="24"/>
          <w:szCs w:val="24"/>
        </w:rPr>
        <w:t xml:space="preserve">8) замена или добавление новой производственной площадки для части или всех процессов производства биологических (иммунологических) и стерильных лекарственных средств;</w:t>
      </w:r>
    </w:p>
    <w:p>
      <w:pPr>
        <w:spacing w:after="120"/>
        <w:jc w:val="both"/>
      </w:pPr>
      <w:r>
        <w:rPr>
          <w:rFonts w:ascii="Arial" w:cs="Arial" w:eastAsia="Arial" w:hAnsi="Arial"/>
          <w:sz w:val="24"/>
          <w:szCs w:val="24"/>
        </w:rPr>
        <w:t xml:space="preserve">9) добавление показаний в другой терапевтической области (лечение, диагностика или профилактика - определяются в соответствии с действующей анатомо-терапевтическо-химической классификацией);</w:t>
      </w:r>
    </w:p>
    <w:p>
      <w:pPr>
        <w:spacing w:after="120"/>
        <w:jc w:val="both"/>
      </w:pPr>
      <w:r>
        <w:rPr>
          <w:rFonts w:ascii="Arial" w:cs="Arial" w:eastAsia="Arial" w:hAnsi="Arial"/>
          <w:sz w:val="24"/>
          <w:szCs w:val="24"/>
        </w:rPr>
        <w:t xml:space="preserve">10) изменения показаний в другой терапевтической области (лечение, диагностика или профилактика - определяются в соответствии с действующей анатомо-терапевтическо-химической классификацией);</w:t>
      </w:r>
    </w:p>
    <w:p>
      <w:pPr>
        <w:spacing w:after="120"/>
        <w:jc w:val="both"/>
      </w:pPr>
      <w:r>
        <w:rPr>
          <w:rFonts w:ascii="Arial" w:cs="Arial" w:eastAsia="Arial" w:hAnsi="Arial"/>
          <w:sz w:val="24"/>
          <w:szCs w:val="24"/>
        </w:rPr>
        <w:t xml:space="preserve">11) изменение биодоступности;</w:t>
      </w:r>
    </w:p>
    <w:p>
      <w:pPr>
        <w:spacing w:after="120"/>
        <w:jc w:val="both"/>
      </w:pPr>
      <w:r>
        <w:rPr>
          <w:rFonts w:ascii="Arial" w:cs="Arial" w:eastAsia="Arial" w:hAnsi="Arial"/>
          <w:sz w:val="24"/>
          <w:szCs w:val="24"/>
        </w:rPr>
        <w:t xml:space="preserve">12) изменение фармакокинетики;</w:t>
      </w:r>
    </w:p>
    <w:p>
      <w:pPr>
        <w:spacing w:after="120"/>
        <w:jc w:val="both"/>
      </w:pPr>
      <w:r>
        <w:rPr>
          <w:rFonts w:ascii="Arial" w:cs="Arial" w:eastAsia="Arial" w:hAnsi="Arial"/>
          <w:sz w:val="24"/>
          <w:szCs w:val="24"/>
        </w:rPr>
        <w:t xml:space="preserve">13) изменение дозирования лекарственного средства;</w:t>
      </w:r>
    </w:p>
    <w:p>
      <w:pPr>
        <w:spacing w:after="120"/>
        <w:jc w:val="both"/>
      </w:pPr>
      <w:r>
        <w:rPr>
          <w:rFonts w:ascii="Arial" w:cs="Arial" w:eastAsia="Arial" w:hAnsi="Arial"/>
          <w:sz w:val="24"/>
          <w:szCs w:val="24"/>
        </w:rPr>
        <w:t xml:space="preserve">14) изменение или добавление новой лекарственной формы;</w:t>
      </w:r>
    </w:p>
    <w:p>
      <w:pPr>
        <w:spacing w:after="120"/>
        <w:jc w:val="both"/>
      </w:pPr>
      <w:r>
        <w:rPr>
          <w:rFonts w:ascii="Arial" w:cs="Arial" w:eastAsia="Arial" w:hAnsi="Arial"/>
          <w:sz w:val="24"/>
          <w:szCs w:val="24"/>
        </w:rPr>
        <w:t xml:space="preserve">15) изменение или добавление нового пути введения (для парентеральных форм в связи с отличиями в эффективности и безопасности препарата при внутриартериальном, внутривенном, внутримышечном и других путях введения);</w:t>
      </w:r>
    </w:p>
    <w:p>
      <w:pPr>
        <w:spacing w:after="120"/>
        <w:jc w:val="both"/>
      </w:pPr>
      <w:r>
        <w:rPr>
          <w:rFonts w:ascii="Arial" w:cs="Arial" w:eastAsia="Arial" w:hAnsi="Arial"/>
          <w:sz w:val="24"/>
          <w:szCs w:val="24"/>
        </w:rPr>
        <w:t xml:space="preserve">16) изменение состава и количества вспомогательных веществ вакцин и биологических лекарственных препаратов в целях улучшения параметров качества лекарственного средства.</w:t>
      </w:r>
    </w:p>
    <w:p>
      <w:pPr>
        <w:spacing w:after="120"/>
        <w:jc w:val="both"/>
      </w:pPr>
      <w:r>
        <w:rPr>
          <w:rFonts w:ascii="Arial" w:cs="Arial" w:eastAsia="Arial" w:hAnsi="Arial"/>
          <w:sz w:val="24"/>
          <w:szCs w:val="24"/>
        </w:rPr>
        <w:t xml:space="preserve">66. Прием заявления оформляется актом приема-передачи по форме, утвержденной уполномоченным органом.</w:t>
      </w:r>
    </w:p>
    <w:p>
      <w:pPr>
        <w:spacing w:after="120"/>
        <w:jc w:val="both"/>
      </w:pPr>
      <w:r>
        <w:rPr>
          <w:rFonts w:ascii="Arial" w:cs="Arial" w:eastAsia="Arial" w:hAnsi="Arial"/>
          <w:sz w:val="24"/>
          <w:szCs w:val="24"/>
        </w:rPr>
        <w:t xml:space="preserve">67. Уполномоченный орган выставляет счет на оплату в течение 5 рабочих дней с момента приема заявления.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120"/>
        <w:jc w:val="both"/>
      </w:pPr>
      <w:r>
        <w:rPr>
          <w:rFonts w:ascii="Arial" w:cs="Arial" w:eastAsia="Arial" w:hAnsi="Arial"/>
          <w:sz w:val="24"/>
          <w:szCs w:val="24"/>
        </w:rPr>
        <w:t xml:space="preserve">Невнесение заявителем оплаты в установленный срок влечет отказ в рассмотрении внесения изменений. Возврат документов с оформлением акта приема-передачи осуществляется по запросу заявителя.</w:t>
      </w:r>
    </w:p>
    <w:p>
      <w:pPr>
        <w:spacing w:after="120"/>
        <w:jc w:val="both"/>
      </w:pPr>
      <w:r>
        <w:rPr>
          <w:rFonts w:ascii="Arial" w:cs="Arial" w:eastAsia="Arial" w:hAnsi="Arial"/>
          <w:sz w:val="24"/>
          <w:szCs w:val="24"/>
        </w:rPr>
        <w:t xml:space="preserve">68. Экспертиза изменений в регистрационное досье лекарственных препаратов осуществляется уполномоченным органом в части регистрационного досье, которая подвергается изменению.</w:t>
      </w:r>
    </w:p>
    <w:p>
      <w:pPr>
        <w:spacing w:after="120"/>
        <w:jc w:val="both"/>
      </w:pPr>
      <w:r>
        <w:rPr>
          <w:rFonts w:ascii="Arial" w:cs="Arial" w:eastAsia="Arial" w:hAnsi="Arial"/>
          <w:sz w:val="24"/>
          <w:szCs w:val="24"/>
        </w:rPr>
        <w:t xml:space="preserve">69. Проведение экспертизы документов и принятие решений уполномоченным органом по внесению изменений в регистрационное досье осуществляются в срок, не превышающий 50 календарных дней со дня подтверждения оплаты заявителем.</w:t>
      </w:r>
    </w:p>
    <w:p>
      <w:pPr>
        <w:spacing w:after="120"/>
        <w:jc w:val="both"/>
      </w:pPr>
      <w:r>
        <w:rPr>
          <w:rFonts w:ascii="Arial" w:cs="Arial" w:eastAsia="Arial" w:hAnsi="Arial"/>
          <w:sz w:val="24"/>
          <w:szCs w:val="24"/>
        </w:rPr>
        <w:t xml:space="preserve">70. В случае обнаружения данных, требующих уточнения при внесении изменений в регистрационное досье, в период проведения экспертизы уполномоченный орган направляет однократный запрос держателю регистрационного удостоверения о предоставлении необходимой информации или данных в письменном и/или электронном виде.</w:t>
      </w:r>
    </w:p>
    <w:p>
      <w:pPr>
        <w:spacing w:after="120"/>
        <w:jc w:val="both"/>
      </w:pPr>
      <w:r>
        <w:rPr>
          <w:rFonts w:ascii="Arial" w:cs="Arial" w:eastAsia="Arial" w:hAnsi="Arial"/>
          <w:sz w:val="24"/>
          <w:szCs w:val="24"/>
        </w:rPr>
        <w:t xml:space="preserve">71. Срок предоставления заявителем ответа на запрос уполномоченного органа при экспертизе вносимых изменений в регистрационное досье не должен превышать 30 календарных дней. Время предоставления заявителем документов по запросу уполномоченного органа в процессе экспертизы вносимых изменений не входит в сроки проведения экспертизы и процедуры внесения изменений в регистрационное досье лекарственного препарата.</w:t>
      </w:r>
    </w:p>
    <w:p>
      <w:pPr>
        <w:spacing w:after="120"/>
        <w:jc w:val="both"/>
      </w:pPr>
      <w:r>
        <w:rPr>
          <w:rFonts w:ascii="Arial" w:cs="Arial" w:eastAsia="Arial" w:hAnsi="Arial"/>
          <w:sz w:val="24"/>
          <w:szCs w:val="24"/>
        </w:rPr>
        <w:t xml:space="preserve">72. По результатам экспертизы и заключения об отсутствии влияния вносимых изменений на качество, безопасность и эффективность лекарственного средства, уполномоченный орган принимает решение в срок, не превышающий 5 рабочих дней, о внесении изменений в регистрационное досье.</w:t>
      </w:r>
    </w:p>
    <w:p>
      <w:pPr>
        <w:spacing w:after="120"/>
        <w:jc w:val="both"/>
      </w:pPr>
      <w:r>
        <w:rPr>
          <w:rFonts w:ascii="Arial" w:cs="Arial" w:eastAsia="Arial" w:hAnsi="Arial"/>
          <w:sz w:val="24"/>
          <w:szCs w:val="24"/>
        </w:rPr>
        <w:t xml:space="preserve">73. Уполномоченный орган в течение 5 рабочих дней со дня принятия решения вносит соответствующую запись в Государственный реестр лекарственных средств Кыргызской Республики и направляет уведомление заявителю о внесенных изменениях.</w:t>
      </w:r>
    </w:p>
    <w:p>
      <w:pPr>
        <w:spacing w:after="120"/>
        <w:jc w:val="both"/>
      </w:pPr>
      <w:r>
        <w:rPr>
          <w:rFonts w:ascii="Arial" w:cs="Arial" w:eastAsia="Arial" w:hAnsi="Arial"/>
          <w:sz w:val="24"/>
          <w:szCs w:val="24"/>
        </w:rPr>
        <w:t xml:space="preserve">74. В случае если вносимые изменения затрагивают документы и/или данные регистрационного удостоверения заявителю выдается новое регистрационное удостоверение под прежним номером на остаточный срок действия регистрации лекарственного средства.</w:t>
      </w:r>
    </w:p>
    <w:p>
      <w:pPr>
        <w:spacing w:after="120"/>
        <w:jc w:val="both"/>
      </w:pPr>
      <w:r>
        <w:rPr>
          <w:rFonts w:ascii="Arial" w:cs="Arial" w:eastAsia="Arial" w:hAnsi="Arial"/>
          <w:sz w:val="24"/>
          <w:szCs w:val="24"/>
        </w:rPr>
        <w:t xml:space="preserve">75. В случае внесения незначимых изменений, не затрагивающих аспектов безопасности, качества и эффективности лекарственного средства, но затрагивающих изменение макетов упаковок лекарственного средства, инструкции по медицинскому применению, а также изменений штрих-кода и цветового дизайна упаковки и иных:</w:t>
      </w:r>
    </w:p>
    <w:p>
      <w:pPr>
        <w:spacing w:after="120"/>
        <w:jc w:val="both"/>
      </w:pPr>
      <w:r>
        <w:rPr>
          <w:rFonts w:ascii="Arial" w:cs="Arial" w:eastAsia="Arial" w:hAnsi="Arial"/>
          <w:sz w:val="24"/>
          <w:szCs w:val="24"/>
        </w:rPr>
        <w:t xml:space="preserve">- разрешается производство и ввоз лекарственного средства в ранее утвержденных упаковках и с инструкцией по медицинскому применению в течение 180 календарных дней с даты внесения изменений;</w:t>
      </w:r>
    </w:p>
    <w:p>
      <w:pPr>
        <w:spacing w:after="120"/>
        <w:jc w:val="both"/>
      </w:pPr>
      <w:r>
        <w:rPr>
          <w:rFonts w:ascii="Arial" w:cs="Arial" w:eastAsia="Arial" w:hAnsi="Arial"/>
          <w:sz w:val="24"/>
          <w:szCs w:val="24"/>
        </w:rPr>
        <w:t xml:space="preserve">- допускается одновременная реализация лекарственного средства в ранее и вновь утвержденной упаковке с ранее и вновь утвержденной инструкцией по медицинскому применению до окончания срока годности лекарственного средства, если это не противоречит правилам надлежащей практики фармаконадзора.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проведения ускоренной процедуры 
 регистрации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Лекарственные средства подлежат процедуре ускоренной регистрации в случаях если:</w:t>
      </w:r>
    </w:p>
    <w:p>
      <w:pPr>
        <w:spacing w:after="120"/>
        <w:jc w:val="both"/>
      </w:pPr>
      <w:r>
        <w:rPr>
          <w:rFonts w:ascii="Arial" w:cs="Arial" w:eastAsia="Arial" w:hAnsi="Arial"/>
          <w:sz w:val="24"/>
          <w:szCs w:val="24"/>
        </w:rPr>
        <w:t xml:space="preserve">1) лекарственные средства входят в перечень преквалифицированных лекарственных средств Всемирной организации здравоохранения;</w:t>
      </w:r>
    </w:p>
    <w:p>
      <w:pPr>
        <w:spacing w:after="120"/>
        <w:jc w:val="both"/>
      </w:pPr>
      <w:r>
        <w:rPr>
          <w:rFonts w:ascii="Arial" w:cs="Arial" w:eastAsia="Arial" w:hAnsi="Arial"/>
          <w:sz w:val="24"/>
          <w:szCs w:val="24"/>
        </w:rPr>
        <w:t xml:space="preserve">2) лекарственные средства имеют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w:t>
      </w:r>
    </w:p>
    <w:p>
      <w:pPr>
        <w:spacing w:after="120"/>
        <w:jc w:val="both"/>
      </w:pPr>
      <w:r>
        <w:rPr>
          <w:rFonts w:ascii="Arial" w:cs="Arial" w:eastAsia="Arial" w:hAnsi="Arial"/>
          <w:sz w:val="24"/>
          <w:szCs w:val="24"/>
        </w:rPr>
        <w:t xml:space="preserve">77. В целях ускоренной регистрации лекарственного средства заявитель предоставляет в уполномоченный орган заявление по форме, утвержденной уполномоченным органом, с приложением следующих документов:</w:t>
      </w:r>
    </w:p>
    <w:p>
      <w:pPr>
        <w:spacing w:after="120"/>
        <w:jc w:val="both"/>
      </w:pPr>
      <w:r>
        <w:rPr>
          <w:rFonts w:ascii="Arial" w:cs="Arial" w:eastAsia="Arial" w:hAnsi="Arial"/>
          <w:sz w:val="24"/>
          <w:szCs w:val="24"/>
        </w:rPr>
        <w:t xml:space="preserve">- на лекарственные средства, имеющие преквалификацию Всемирной организации здравоохранения:</w:t>
      </w:r>
    </w:p>
    <w:p>
      <w:pPr>
        <w:spacing w:after="120"/>
        <w:jc w:val="both"/>
      </w:pPr>
      <w:r>
        <w:rPr>
          <w:rFonts w:ascii="Arial" w:cs="Arial" w:eastAsia="Arial" w:hAnsi="Arial"/>
          <w:sz w:val="24"/>
          <w:szCs w:val="24"/>
        </w:rPr>
        <w:t xml:space="preserve">регистрационное досье, аналогичное поданному заявителем в рамках Программы преквалификации лекарственных средств Всемирной организации здравоохранения;</w:t>
      </w:r>
    </w:p>
    <w:p>
      <w:pPr>
        <w:spacing w:after="120"/>
        <w:jc w:val="both"/>
      </w:pPr>
      <w:r>
        <w:rPr>
          <w:rFonts w:ascii="Arial" w:cs="Arial" w:eastAsia="Arial" w:hAnsi="Arial"/>
          <w:sz w:val="24"/>
          <w:szCs w:val="24"/>
        </w:rPr>
        <w:t xml:space="preserve">документ (копия), подтверждающий факт преквалификации Всемирной организацией здравоохранения;</w:t>
      </w:r>
    </w:p>
    <w:p>
      <w:pPr>
        <w:spacing w:after="120"/>
        <w:jc w:val="both"/>
      </w:pPr>
      <w:r>
        <w:rPr>
          <w:rFonts w:ascii="Arial" w:cs="Arial" w:eastAsia="Arial" w:hAnsi="Arial"/>
          <w:sz w:val="24"/>
          <w:szCs w:val="24"/>
        </w:rPr>
        <w:t xml:space="preserve">- на лекарственные средства, имеющие регистрацию в странах, перечисленных в подпункте 2 пункта 76 настоящего Порядка:</w:t>
      </w:r>
    </w:p>
    <w:p>
      <w:pPr>
        <w:spacing w:after="120"/>
        <w:jc w:val="both"/>
      </w:pPr>
      <w:r>
        <w:rPr>
          <w:rFonts w:ascii="Arial" w:cs="Arial" w:eastAsia="Arial" w:hAnsi="Arial"/>
          <w:sz w:val="24"/>
          <w:szCs w:val="24"/>
        </w:rPr>
        <w:t xml:space="preserve">регистрационное досье, аналогичное поданному соответствующему уполномоченному органу;</w:t>
      </w:r>
    </w:p>
    <w:p>
      <w:pPr>
        <w:spacing w:after="120"/>
        <w:jc w:val="both"/>
      </w:pPr>
      <w:r>
        <w:rPr>
          <w:rFonts w:ascii="Arial" w:cs="Arial" w:eastAsia="Arial" w:hAnsi="Arial"/>
          <w:sz w:val="24"/>
          <w:szCs w:val="24"/>
        </w:rPr>
        <w:t xml:space="preserve">документ (копия), подтверждающий факт регистрации лекарственного средства в одном из уполномоченных органов стран, перечисленных в подпункте 2 пункта 76 (документы, подтверждающие регистрацию, предоставляются в виде их нотариально заверенных копий с переводом на официальном и/или государственном языке (верность перевода или подлинность подписи переводчика должна быть засвидетельствована нотариально), если иное не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 нормативный документ по качеству лекарственного средства или эквивалентный документ (спецификация и методика анализа лекарственного средства) на официальном и/или государственном языке;</w:t>
      </w:r>
    </w:p>
    <w:p>
      <w:pPr>
        <w:spacing w:after="120"/>
        <w:jc w:val="both"/>
      </w:pPr>
      <w:r>
        <w:rPr>
          <w:rFonts w:ascii="Arial" w:cs="Arial" w:eastAsia="Arial" w:hAnsi="Arial"/>
          <w:sz w:val="24"/>
          <w:szCs w:val="24"/>
        </w:rPr>
        <w:t xml:space="preserve">- макеты первичной и вторичной (потребительской) упаковок на официальном и/или государственном языке; допускается предоставление макетов первичной и вторичной (потребительской) упаковок на английском языке с одновременным предоставлением соответствующих макетов самоклеющейся этикетки (стикер), содержащей соответствующую информацию о лекарственном препарате на официальном и/или государственном языке;</w:t>
      </w:r>
    </w:p>
    <w:p>
      <w:pPr>
        <w:spacing w:after="120"/>
        <w:jc w:val="both"/>
      </w:pPr>
      <w:r>
        <w:rPr>
          <w:rFonts w:ascii="Arial" w:cs="Arial" w:eastAsia="Arial" w:hAnsi="Arial"/>
          <w:sz w:val="24"/>
          <w:szCs w:val="24"/>
        </w:rPr>
        <w:t xml:space="preserve">- инструкция по медицинскому применению на официальном и на государственном языке.</w:t>
      </w:r>
    </w:p>
    <w:p>
      <w:pPr>
        <w:spacing w:after="120"/>
        <w:jc w:val="both"/>
      </w:pPr>
      <w:r>
        <w:rPr>
          <w:rFonts w:ascii="Arial" w:cs="Arial" w:eastAsia="Arial" w:hAnsi="Arial"/>
          <w:sz w:val="24"/>
          <w:szCs w:val="24"/>
        </w:rPr>
        <w:t xml:space="preserve">78. При подаче заявления на ускоренную регистрацию различных лекарственных форм одного и того же лекарственного препарата заявитель предоставляет в уполномоченный орган отдельные заявления и регистрационное досье на каждую лекарственную форму.</w:t>
      </w:r>
    </w:p>
    <w:p>
      <w:pPr>
        <w:spacing w:after="120"/>
        <w:jc w:val="both"/>
      </w:pPr>
      <w:r>
        <w:rPr>
          <w:rFonts w:ascii="Arial" w:cs="Arial" w:eastAsia="Arial" w:hAnsi="Arial"/>
          <w:sz w:val="24"/>
          <w:szCs w:val="24"/>
        </w:rPr>
        <w:t xml:space="preserve">79. При подаче заявления на ускоренную регистрацию одной лекарственной формы с различной дозировкой, концентрацией, объемом заполнения, заявитель предоставляет одно заявление и регистрационное досье с приложением макетов упаковок на каждую дозировку, концентрацию, объем заполнения и количество доз в упаковке.</w:t>
      </w:r>
    </w:p>
    <w:p>
      <w:pPr>
        <w:spacing w:after="120"/>
        <w:jc w:val="both"/>
      </w:pPr>
      <w:r>
        <w:rPr>
          <w:rFonts w:ascii="Arial" w:cs="Arial" w:eastAsia="Arial" w:hAnsi="Arial"/>
          <w:sz w:val="24"/>
          <w:szCs w:val="24"/>
        </w:rPr>
        <w:t xml:space="preserve">80. Прием заявления оформляется актом приема-передачи по форме, утвержденной уполномоченным органом.</w:t>
      </w:r>
    </w:p>
    <w:p>
      <w:pPr>
        <w:spacing w:after="120"/>
        <w:jc w:val="both"/>
      </w:pPr>
      <w:r>
        <w:rPr>
          <w:rFonts w:ascii="Arial" w:cs="Arial" w:eastAsia="Arial" w:hAnsi="Arial"/>
          <w:sz w:val="24"/>
          <w:szCs w:val="24"/>
        </w:rPr>
        <w:t xml:space="preserve">81. Уполномоченный орган выставляет счет на оплату в течение 5 рабочих дней с момента приема заявления.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120"/>
        <w:jc w:val="both"/>
      </w:pPr>
      <w:r>
        <w:rPr>
          <w:rFonts w:ascii="Arial" w:cs="Arial" w:eastAsia="Arial" w:hAnsi="Arial"/>
          <w:sz w:val="24"/>
          <w:szCs w:val="24"/>
        </w:rPr>
        <w:t xml:space="preserve">Невнесение заявителем оплаты за ускоренную регистрацию лекарственного средства в установленный срок влечет отказ в ускоренной регистрации. Возврат документов регистрационного досье с оформлением акта приема-передачи осуществляется по запросу заявителя.</w:t>
      </w:r>
    </w:p>
    <w:p>
      <w:pPr>
        <w:spacing w:after="120"/>
        <w:jc w:val="both"/>
      </w:pPr>
      <w:r>
        <w:rPr>
          <w:rFonts w:ascii="Arial" w:cs="Arial" w:eastAsia="Arial" w:hAnsi="Arial"/>
          <w:sz w:val="24"/>
          <w:szCs w:val="24"/>
        </w:rPr>
        <w:t xml:space="preserve">82. Ускоренная процедура регистрации лекарственных средств проводится уполномоченным органом в течение 20 календарных дней с даты подтверждения оплаты за ускоренную регистрацию. При ускоренной регистрации лабораторные испытания образцов лекарственного средства не проводятся.</w:t>
      </w:r>
    </w:p>
    <w:p>
      <w:pPr>
        <w:spacing w:after="120"/>
        <w:jc w:val="both"/>
      </w:pPr>
      <w:r>
        <w:rPr>
          <w:rFonts w:ascii="Arial" w:cs="Arial" w:eastAsia="Arial" w:hAnsi="Arial"/>
          <w:sz w:val="24"/>
          <w:szCs w:val="24"/>
        </w:rPr>
        <w:t xml:space="preserve">В заявлении о проведении государственной регистрации заявитель делает отметку о проведении процедуры ускоренной регистрации.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m30-acrtebovw2bg39wtd">
        <w:r>
          <w:rPr>
            <w:rFonts w:ascii="Arial" w:cs="Arial" w:eastAsia="Arial" w:hAnsi="Arial"/>
            <w:i/>
            <w:iCs/>
            <w:color w:val="1D4ED8"/>
            <w:sz w:val="24"/>
            <w:szCs w:val="24"/>
            <w:u w:val="single"/>
          </w:rPr>
          <w:t xml:space="preserve">3 октября 2024 года № 598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83. Экспертиза регистрационного досье проводится после получения оплаты за ускоренную регистрацию лекарственного средства в течение 15 календарных дней.</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sillcdlqayugkohoilfxs">
        <w:r>
          <w:rPr>
            <w:rFonts w:ascii="Arial" w:cs="Arial" w:eastAsia="Arial" w:hAnsi="Arial"/>
            <w:i/>
            <w:iCs/>
            <w:color w:val="1D4ED8"/>
            <w:sz w:val="24"/>
            <w:szCs w:val="24"/>
            <w:u w:val="single"/>
          </w:rPr>
          <w:t xml:space="preserve">3 октября 2024 года № 598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84. На зарегистрированное лекарственное средство по ускоренной процедуре регистрации уполномоченный орган выдает заявителю в срок, не превышающий 5 рабочих дней со дня принятия им решения, под подпись:</w:t>
      </w:r>
    </w:p>
    <w:p>
      <w:pPr>
        <w:spacing w:after="120"/>
        <w:jc w:val="both"/>
      </w:pPr>
      <w:r>
        <w:rPr>
          <w:rFonts w:ascii="Arial" w:cs="Arial" w:eastAsia="Arial" w:hAnsi="Arial"/>
          <w:sz w:val="24"/>
          <w:szCs w:val="24"/>
        </w:rPr>
        <w:t xml:space="preserve">- регистрационное удостоверение с указанием срока, в течение которого разрешается медицинское применение лекарственного средства на территории Кыргызской Республики;</w:t>
      </w:r>
    </w:p>
    <w:p>
      <w:pPr>
        <w:spacing w:after="120"/>
        <w:jc w:val="both"/>
      </w:pPr>
      <w:r>
        <w:rPr>
          <w:rFonts w:ascii="Arial" w:cs="Arial" w:eastAsia="Arial" w:hAnsi="Arial"/>
          <w:sz w:val="24"/>
          <w:szCs w:val="24"/>
        </w:rPr>
        <w:t xml:space="preserve">- инструкцию по медицинскому применению на государственном и официальном языках, утвержденную уполномоченным органом;</w:t>
      </w:r>
    </w:p>
    <w:p>
      <w:pPr>
        <w:spacing w:after="120"/>
        <w:jc w:val="both"/>
      </w:pPr>
      <w:r>
        <w:rPr>
          <w:rFonts w:ascii="Arial" w:cs="Arial" w:eastAsia="Arial" w:hAnsi="Arial"/>
          <w:sz w:val="24"/>
          <w:szCs w:val="24"/>
        </w:rPr>
        <w:t xml:space="preserve">- согласованные уполномоченным органом макеты упаковок;</w:t>
      </w:r>
    </w:p>
    <w:p>
      <w:pPr>
        <w:spacing w:after="120"/>
        <w:jc w:val="both"/>
      </w:pPr>
      <w:r>
        <w:rPr>
          <w:rFonts w:ascii="Arial" w:cs="Arial" w:eastAsia="Arial" w:hAnsi="Arial"/>
          <w:sz w:val="24"/>
          <w:szCs w:val="24"/>
        </w:rPr>
        <w:t xml:space="preserve">- согласованный уполномоченным органом нормативный документ по качеству или эквивалентный документ (спецификация и методика анализа лекарственного средства).</w:t>
      </w:r>
    </w:p>
    <w:p>
      <w:pPr>
        <w:spacing w:after="120"/>
        <w:jc w:val="both"/>
      </w:pPr>
      <w:r>
        <w:rPr>
          <w:rFonts w:ascii="Arial" w:cs="Arial" w:eastAsia="Arial" w:hAnsi="Arial"/>
          <w:sz w:val="24"/>
          <w:szCs w:val="24"/>
        </w:rPr>
        <w:t xml:space="preserve">85. Зарегистрированное лекарственное средство по ускоренной процедуре регистрации лекарственного средства вносится в течение 5 рабочих дней в Государственный реестр лекарственных средств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внесения лекарственного средства 
 в Государственный реестр лекарственных средств 
 Кыргызской Республики и выдачи дубликата 
 регистрационного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Государственный реестр лекарственных средств Кыргызской Республики является официальным электронным документом учета зарегистрированных лекарственных средств в Кыргызской Республике, ведение которого осуществляется уполномоченным органом.</w:t>
      </w:r>
    </w:p>
    <w:p>
      <w:pPr>
        <w:spacing w:after="120"/>
        <w:jc w:val="both"/>
      </w:pPr>
      <w:r>
        <w:rPr>
          <w:rFonts w:ascii="Arial" w:cs="Arial" w:eastAsia="Arial" w:hAnsi="Arial"/>
          <w:sz w:val="24"/>
          <w:szCs w:val="24"/>
        </w:rPr>
        <w:t xml:space="preserve">87. Информация о зарегистрированных лекарственных средствах, а также лекарственных средствах, прошедших процедуру подтверждения регистрации, в течение 5 рабочих дней вносится в Государственный реестр лекарственных средств Кыргызской Республики (далее - Государственный реестр) в виде реестровой записи с присвоением лекарственному средству регистрационного номера.</w:t>
      </w:r>
    </w:p>
    <w:p>
      <w:pPr>
        <w:spacing w:after="120"/>
        <w:jc w:val="both"/>
      </w:pPr>
      <w:r>
        <w:rPr>
          <w:rFonts w:ascii="Arial" w:cs="Arial" w:eastAsia="Arial" w:hAnsi="Arial"/>
          <w:sz w:val="24"/>
          <w:szCs w:val="24"/>
        </w:rPr>
        <w:t xml:space="preserve">88. В Государственный реестр включаются утвержденные уполномоченным органом инструкции по медицинскому применению на государственном и официальном языках.</w:t>
      </w:r>
    </w:p>
    <w:p>
      <w:pPr>
        <w:spacing w:after="120"/>
        <w:jc w:val="both"/>
      </w:pPr>
      <w:r>
        <w:rPr>
          <w:rFonts w:ascii="Arial" w:cs="Arial" w:eastAsia="Arial" w:hAnsi="Arial"/>
          <w:sz w:val="24"/>
          <w:szCs w:val="24"/>
        </w:rPr>
        <w:t xml:space="preserve">89. Лекарственные средства, зарегистрированные, получившие подтверждение регистрации и внесенные в Государственный реестр, разрешаются к медицинскому применению на территории Кыргызской Республики на весь период действия регистрационного удостоверения.</w:t>
      </w:r>
    </w:p>
    <w:p>
      <w:pPr>
        <w:spacing w:after="120"/>
        <w:jc w:val="both"/>
      </w:pPr>
      <w:r>
        <w:rPr>
          <w:rFonts w:ascii="Arial" w:cs="Arial" w:eastAsia="Arial" w:hAnsi="Arial"/>
          <w:sz w:val="24"/>
          <w:szCs w:val="24"/>
        </w:rPr>
        <w:t xml:space="preserve">90. Государственный реестр публикуется на официальном сайте уполномоченного органа и обновляется на постоянной основе в режиме онлайн.</w:t>
      </w:r>
    </w:p>
    <w:p>
      <w:pPr>
        <w:spacing w:after="120"/>
        <w:jc w:val="both"/>
      </w:pPr>
      <w:r>
        <w:rPr>
          <w:rFonts w:ascii="Arial" w:cs="Arial" w:eastAsia="Arial" w:hAnsi="Arial"/>
          <w:sz w:val="24"/>
          <w:szCs w:val="24"/>
        </w:rPr>
        <w:t xml:space="preserve">91. При принятии уполномоченным органом решения о приостановке действия или аннулировании (отзыве) регистрационного удостоверения лекарственного средства для медицинского применения, внесение соответствующей реестровой записи в Государственный реестр осуществляется в срок, не превышающий 2 рабочих дней со дня принятия такого решения.</w:t>
      </w:r>
    </w:p>
    <w:p>
      <w:pPr>
        <w:spacing w:after="120"/>
        <w:jc w:val="both"/>
      </w:pPr>
      <w:r>
        <w:rPr>
          <w:rFonts w:ascii="Arial" w:cs="Arial" w:eastAsia="Arial" w:hAnsi="Arial"/>
          <w:sz w:val="24"/>
          <w:szCs w:val="24"/>
        </w:rPr>
        <w:t xml:space="preserve">92. В случае утери (порчи) регистрационного удостоверения, представитель держателя регистрационного удостоверения вправе обратиться в уполномоченный орган с заявлением о выдаче дубликата регистрационного удостоверения.</w:t>
      </w:r>
    </w:p>
    <w:p>
      <w:pPr>
        <w:spacing w:after="120"/>
        <w:jc w:val="both"/>
      </w:pPr>
      <w:r>
        <w:rPr>
          <w:rFonts w:ascii="Arial" w:cs="Arial" w:eastAsia="Arial" w:hAnsi="Arial"/>
          <w:sz w:val="24"/>
          <w:szCs w:val="24"/>
        </w:rPr>
        <w:t xml:space="preserve">93. В случае порчи регистрационного удостоверения к заявлению о выдаче его дубликата прилагается испорченное регистрационное удостоверение, в случае утери - сообщение об утере, опубликованное в средствах массовой информации.</w:t>
      </w:r>
    </w:p>
    <w:p>
      <w:pPr>
        <w:spacing w:after="120"/>
        <w:jc w:val="both"/>
      </w:pPr>
      <w:r>
        <w:rPr>
          <w:rFonts w:ascii="Arial" w:cs="Arial" w:eastAsia="Arial" w:hAnsi="Arial"/>
          <w:sz w:val="24"/>
          <w:szCs w:val="24"/>
        </w:rPr>
        <w:t xml:space="preserve">94. В течение 7 календарных дней со дня получения заявления о выдаче дубликата регистрационного удостоверения и оплаты заявителем за выдачу дубликата регистрационного удостоверения уполномоченный орган оформляет дубликат регистрационного удостоверения на бланке регистрационного удостоверения с отметкой "дубликат" и выдает держателю регистрационного удостоверения или его представителю.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Основания приостановления действия 
 регистрационного удостоверения или аннулирования 
 регистрационного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Ограничение действия регистрационного удостоверения применяется уполномоченным органом посредством:</w:t>
      </w:r>
    </w:p>
    <w:p>
      <w:pPr>
        <w:spacing w:after="120"/>
        <w:jc w:val="both"/>
      </w:pPr>
      <w:r>
        <w:rPr>
          <w:rFonts w:ascii="Arial" w:cs="Arial" w:eastAsia="Arial" w:hAnsi="Arial"/>
          <w:sz w:val="24"/>
          <w:szCs w:val="24"/>
        </w:rPr>
        <w:t xml:space="preserve">- приостановления действия регистрационного удостоверения;</w:t>
      </w:r>
    </w:p>
    <w:p>
      <w:pPr>
        <w:spacing w:after="120"/>
        <w:jc w:val="both"/>
      </w:pPr>
      <w:r>
        <w:rPr>
          <w:rFonts w:ascii="Arial" w:cs="Arial" w:eastAsia="Arial" w:hAnsi="Arial"/>
          <w:sz w:val="24"/>
          <w:szCs w:val="24"/>
        </w:rPr>
        <w:t xml:space="preserve">- аннулирования (отзыва) регистрационного удостоверения.</w:t>
      </w:r>
    </w:p>
    <w:p>
      <w:pPr>
        <w:spacing w:after="120"/>
        <w:jc w:val="both"/>
      </w:pPr>
      <w:r>
        <w:rPr>
          <w:rFonts w:ascii="Arial" w:cs="Arial" w:eastAsia="Arial" w:hAnsi="Arial"/>
          <w:sz w:val="24"/>
          <w:szCs w:val="24"/>
        </w:rPr>
        <w:t xml:space="preserve">96. Действие регистрационного удостоверения приостанавливается уполномоченным органом в случаях:</w:t>
      </w:r>
    </w:p>
    <w:p>
      <w:pPr>
        <w:spacing w:after="120"/>
        <w:jc w:val="both"/>
      </w:pPr>
      <w:r>
        <w:rPr>
          <w:rFonts w:ascii="Arial" w:cs="Arial" w:eastAsia="Arial" w:hAnsi="Arial"/>
          <w:sz w:val="24"/>
          <w:szCs w:val="24"/>
        </w:rPr>
        <w:t xml:space="preserve">1) документально подтвержденных фактов несоответствия качественного и количественного состава выпущенных серий лекарственного средства заявленному составу, кроме случаев поданной заявителем в уполномоченный орган заявления о внесении изменений в регистрационное досье по составу лекарственного средства;</w:t>
      </w:r>
    </w:p>
    <w:p>
      <w:pPr>
        <w:spacing w:after="120"/>
        <w:jc w:val="both"/>
      </w:pPr>
      <w:r>
        <w:rPr>
          <w:rFonts w:ascii="Arial" w:cs="Arial" w:eastAsia="Arial" w:hAnsi="Arial"/>
          <w:sz w:val="24"/>
          <w:szCs w:val="24"/>
        </w:rPr>
        <w:t xml:space="preserve">2) неблагоприятного соотношения "польза - риск" или выявления документального подтверждения недостаточной терапевтической эффективности лекарственного препарата при соблюдении условий его применения, описанных в утвержденной инструкции по применению;</w:t>
      </w:r>
    </w:p>
    <w:p>
      <w:pPr>
        <w:spacing w:after="120"/>
        <w:jc w:val="both"/>
      </w:pPr>
      <w:r>
        <w:rPr>
          <w:rFonts w:ascii="Arial" w:cs="Arial" w:eastAsia="Arial" w:hAnsi="Arial"/>
          <w:sz w:val="24"/>
          <w:szCs w:val="24"/>
        </w:rPr>
        <w:t xml:space="preserve">3) если производитель не устранил выявленные во время инспекции несоответствия требованиям правил надлежащей производственной практики в согласованные с уполномоченным органом сроки;</w:t>
      </w:r>
    </w:p>
    <w:p>
      <w:pPr>
        <w:spacing w:after="120"/>
        <w:jc w:val="both"/>
      </w:pPr>
      <w:r>
        <w:rPr>
          <w:rFonts w:ascii="Arial" w:cs="Arial" w:eastAsia="Arial" w:hAnsi="Arial"/>
          <w:sz w:val="24"/>
          <w:szCs w:val="24"/>
        </w:rPr>
        <w:t xml:space="preserve">4) если лекарственный препарат является опасным (наносит серьезный или непоправимый вред здоровью человека), обоснование серьезности или непоправимости вреда здоровью должно быть подкреплено экспертным заключением уполномоченного органа со ссылками на документальные свидетельства;</w:t>
      </w:r>
    </w:p>
    <w:p>
      <w:pPr>
        <w:spacing w:after="120"/>
        <w:jc w:val="both"/>
      </w:pPr>
      <w:r>
        <w:rPr>
          <w:rFonts w:ascii="Arial" w:cs="Arial" w:eastAsia="Arial" w:hAnsi="Arial"/>
          <w:sz w:val="24"/>
          <w:szCs w:val="24"/>
        </w:rPr>
        <w:t xml:space="preserve">5) невыполнения обязательств по фармаконадзору держателем регистрационного удостоверения.</w:t>
      </w:r>
    </w:p>
    <w:p>
      <w:pPr>
        <w:spacing w:after="120"/>
        <w:jc w:val="both"/>
      </w:pPr>
      <w:r>
        <w:rPr>
          <w:rFonts w:ascii="Arial" w:cs="Arial" w:eastAsia="Arial" w:hAnsi="Arial"/>
          <w:sz w:val="24"/>
          <w:szCs w:val="24"/>
        </w:rPr>
        <w:t xml:space="preserve">97. Действие регистрационного удостоверения приостанавливается на основании решения уполномоченного органа с указанием срока приостановления действия регистрационного удостоверения. В случаях приостановления действия регистрационного удостоверения, указанных в пункте 96 настоящего Порядка, уполномоченный орган в течение 5 рабочих дней направляет держателю регистрационного удостоверения уведомление о приостановлении действия регистрационного удостоверения с указанием причин приостановления.</w:t>
      </w:r>
    </w:p>
    <w:p>
      <w:pPr>
        <w:spacing w:after="120"/>
        <w:jc w:val="both"/>
      </w:pPr>
      <w:r>
        <w:rPr>
          <w:rFonts w:ascii="Arial" w:cs="Arial" w:eastAsia="Arial" w:hAnsi="Arial"/>
          <w:sz w:val="24"/>
          <w:szCs w:val="24"/>
        </w:rPr>
        <w:t xml:space="preserve">Действие регистрационного удостоверения приостанавливается уполномоченным органом сроком до 6 месяцев.</w:t>
      </w:r>
    </w:p>
    <w:p>
      <w:pPr>
        <w:spacing w:after="120"/>
        <w:jc w:val="both"/>
      </w:pPr>
      <w:r>
        <w:rPr>
          <w:rFonts w:ascii="Arial" w:cs="Arial" w:eastAsia="Arial" w:hAnsi="Arial"/>
          <w:sz w:val="24"/>
          <w:szCs w:val="24"/>
        </w:rPr>
        <w:t xml:space="preserve">Применение и реализация лекарственного средства на период приостановления регистрационного удостоверения не допускаются.</w:t>
      </w:r>
    </w:p>
    <w:p>
      <w:pPr>
        <w:spacing w:after="120"/>
        <w:jc w:val="both"/>
      </w:pPr>
      <w:r>
        <w:rPr>
          <w:rFonts w:ascii="Arial" w:cs="Arial" w:eastAsia="Arial" w:hAnsi="Arial"/>
          <w:sz w:val="24"/>
          <w:szCs w:val="24"/>
        </w:rPr>
        <w:t xml:space="preserve">98. Производитель или его уполномоченный представитель в течение срока, установленного пунктом 97 настоящего Порядка, обязан устранить обстоятельства, повлекшие приостановление действия регистрационного удостоверения, и уведомить об этом в письменной форме уполномоченный орган с приложением подтверждающих документов.</w:t>
      </w:r>
    </w:p>
    <w:p>
      <w:pPr>
        <w:spacing w:after="120"/>
        <w:jc w:val="both"/>
      </w:pPr>
      <w:r>
        <w:rPr>
          <w:rFonts w:ascii="Arial" w:cs="Arial" w:eastAsia="Arial" w:hAnsi="Arial"/>
          <w:sz w:val="24"/>
          <w:szCs w:val="24"/>
        </w:rPr>
        <w:t xml:space="preserve">99. По результатам оценки предоставленных заявителем документов уполномоченный орган в течение 10 рабочих дней принимает решение о возобновлении действия регистрационного удостоверения (с указанием даты возобновления регистрационного удостоверения) либо аннулировании регистрационного удостоверения.</w:t>
      </w:r>
    </w:p>
    <w:p>
      <w:pPr>
        <w:spacing w:after="120"/>
        <w:jc w:val="both"/>
      </w:pPr>
      <w:r>
        <w:rPr>
          <w:rFonts w:ascii="Arial" w:cs="Arial" w:eastAsia="Arial" w:hAnsi="Arial"/>
          <w:sz w:val="24"/>
          <w:szCs w:val="24"/>
        </w:rPr>
        <w:t xml:space="preserve">100. Уполномоченный орган уведомляет производителя или его уполномоченного представителя о принятом решении в течение 5 рабочих дней со дня принятия такого решения.</w:t>
      </w:r>
    </w:p>
    <w:p>
      <w:pPr>
        <w:spacing w:after="120"/>
        <w:jc w:val="both"/>
      </w:pPr>
      <w:r>
        <w:rPr>
          <w:rFonts w:ascii="Arial" w:cs="Arial" w:eastAsia="Arial" w:hAnsi="Arial"/>
          <w:sz w:val="24"/>
          <w:szCs w:val="24"/>
        </w:rPr>
        <w:t xml:space="preserve">Решение о возобновлении действия удостоверения вступает в силу со дня его принятия.</w:t>
      </w:r>
    </w:p>
    <w:p>
      <w:pPr>
        <w:spacing w:after="120"/>
        <w:jc w:val="both"/>
      </w:pPr>
      <w:r>
        <w:rPr>
          <w:rFonts w:ascii="Arial" w:cs="Arial" w:eastAsia="Arial" w:hAnsi="Arial"/>
          <w:sz w:val="24"/>
          <w:szCs w:val="24"/>
        </w:rPr>
        <w:t xml:space="preserve">101. Аннулирование (отзыв) регистрационного удостоверения производится уполномоченным органом на основании:</w:t>
      </w:r>
    </w:p>
    <w:p>
      <w:pPr>
        <w:spacing w:after="120"/>
        <w:jc w:val="both"/>
      </w:pPr>
      <w:r>
        <w:rPr>
          <w:rFonts w:ascii="Arial" w:cs="Arial" w:eastAsia="Arial" w:hAnsi="Arial"/>
          <w:sz w:val="24"/>
          <w:szCs w:val="24"/>
        </w:rPr>
        <w:t xml:space="preserve">1) выявления случаев предоставления заявителем недостоверных сведений в документах регистрационного досье, которые не могли быть установлены при регистрации лекарственных препаратов;</w:t>
      </w:r>
    </w:p>
    <w:p>
      <w:pPr>
        <w:spacing w:after="120"/>
        <w:jc w:val="both"/>
      </w:pPr>
      <w:r>
        <w:rPr>
          <w:rFonts w:ascii="Arial" w:cs="Arial" w:eastAsia="Arial" w:hAnsi="Arial"/>
          <w:sz w:val="24"/>
          <w:szCs w:val="24"/>
        </w:rPr>
        <w:t xml:space="preserve">2) вступившего в законную силу решения суда;</w:t>
      </w:r>
    </w:p>
    <w:p>
      <w:pPr>
        <w:spacing w:after="120"/>
        <w:jc w:val="both"/>
      </w:pPr>
      <w:r>
        <w:rPr>
          <w:rFonts w:ascii="Arial" w:cs="Arial" w:eastAsia="Arial" w:hAnsi="Arial"/>
          <w:sz w:val="24"/>
          <w:szCs w:val="24"/>
        </w:rPr>
        <w:t xml:space="preserve">3) получения и подтверждения новых системных данных о превосходстве рисков, связанных с применением лекарственного препарата, над получаемой от него пользой;</w:t>
      </w:r>
    </w:p>
    <w:p>
      <w:pPr>
        <w:spacing w:after="120"/>
        <w:jc w:val="both"/>
      </w:pPr>
      <w:r>
        <w:rPr>
          <w:rFonts w:ascii="Arial" w:cs="Arial" w:eastAsia="Arial" w:hAnsi="Arial"/>
          <w:sz w:val="24"/>
          <w:szCs w:val="24"/>
        </w:rPr>
        <w:t xml:space="preserve">4) подачи держателем регистрационного удостоверения лекарственного препарата или юридическим лицом, уполномоченным держателем регистрационного удостоверения лекарственного препарата, заявления об отмене регистрации лекарственного препарата;</w:t>
      </w:r>
    </w:p>
    <w:p>
      <w:pPr>
        <w:spacing w:after="120"/>
        <w:jc w:val="both"/>
      </w:pPr>
      <w:r>
        <w:rPr>
          <w:rFonts w:ascii="Arial" w:cs="Arial" w:eastAsia="Arial" w:hAnsi="Arial"/>
          <w:sz w:val="24"/>
          <w:szCs w:val="24"/>
        </w:rPr>
        <w:t xml:space="preserve">5) невыполнения держателем регистрационного удостоверения лекарственного препарата требований уполномоченного органа, указанных в пункте 99 настоящего Порядка.</w:t>
      </w:r>
    </w:p>
    <w:p>
      <w:pPr>
        <w:spacing w:after="120"/>
        <w:jc w:val="both"/>
      </w:pPr>
      <w:r>
        <w:rPr>
          <w:rFonts w:ascii="Arial" w:cs="Arial" w:eastAsia="Arial" w:hAnsi="Arial"/>
          <w:sz w:val="24"/>
          <w:szCs w:val="24"/>
        </w:rPr>
        <w:t xml:space="preserve">102. Уполномоченный орган направляет держателю регистрационного удостоверения письменное уведомление с приложением принятого решения об аннулировании (отзыве) регистрационного удостоверения в течение 5 рабочих дней со дня принятия уполномоченным органом решения об аннулировании (отзыве) регистрационного удостоверения.</w:t>
      </w:r>
    </w:p>
    <w:p>
      <w:pPr>
        <w:spacing w:after="120"/>
        <w:jc w:val="both"/>
      </w:pPr>
      <w:r>
        <w:rPr>
          <w:rFonts w:ascii="Arial" w:cs="Arial" w:eastAsia="Arial" w:hAnsi="Arial"/>
          <w:sz w:val="24"/>
          <w:szCs w:val="24"/>
        </w:rPr>
        <w:t xml:space="preserve">103. В случае аннулирования (отзыва) регистрационного удостоверения уполномоченный орган принимает меры и/или действия, направленные на прекращение поставок лекарственного средства, регистрационное удостоверение которого было аннулировано, а также меры по его отзыву или изъятию из обращения.</w:t>
      </w:r>
    </w:p>
    <w:p>
      <w:pPr>
        <w:spacing w:after="120"/>
        <w:jc w:val="both"/>
      </w:pPr>
      <w:r>
        <w:rPr>
          <w:rFonts w:ascii="Arial" w:cs="Arial" w:eastAsia="Arial" w:hAnsi="Arial"/>
          <w:sz w:val="24"/>
          <w:szCs w:val="24"/>
        </w:rPr>
        <w:t xml:space="preserve">104. Датой прекращения действия регистрационного удостоверения является дата уведомления заявителя о прекращении действия регистрационного удостоверения.</w:t>
      </w:r>
    </w:p>
    <w:p>
      <w:pPr>
        <w:spacing w:after="120"/>
        <w:jc w:val="both"/>
      </w:pPr>
      <w:r>
        <w:rPr>
          <w:rFonts w:ascii="Arial" w:cs="Arial" w:eastAsia="Arial" w:hAnsi="Arial"/>
          <w:sz w:val="24"/>
          <w:szCs w:val="24"/>
        </w:rPr>
        <w:t xml:space="preserve">105. Заявители имеют право обжаловать решение уполномоченного органа о приостановлении действия регистрационного удостоверения, аннулировании (отзыве) регистрационного удостоверения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Обязанности держателей регистрационных 
 удостоверений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В случае смены держателя регистрационного удостоверения новый держатель регистрационного удостоверения должен представить уполномоченному органу документальное подтверждение смены держателя регистрационного удостоверения в срок, не превышающий 15 календарных дней со дня смены держателя регистрационного удостоверения, с подтверждением возможности выполнения им обязанностей держателя регистрационного удостоверения и соблюдения требований, установленных настоящим Порядком.</w:t>
      </w:r>
    </w:p>
    <w:p>
      <w:pPr>
        <w:spacing w:after="120"/>
        <w:jc w:val="both"/>
      </w:pPr>
      <w:r>
        <w:rPr>
          <w:rFonts w:ascii="Arial" w:cs="Arial" w:eastAsia="Arial" w:hAnsi="Arial"/>
          <w:sz w:val="24"/>
          <w:szCs w:val="24"/>
        </w:rPr>
        <w:t xml:space="preserve">107. Держатель регистрационного удостоверения должен незамедлительно уведомить уполномоченный орган о любом запрете или ограничении медицинского применения лекарственного средства, наложенном уполномоченными органами какого-либо государства, на рынке которого находится лекарственное средство, и обо всех сведениях, которые могут повлиять на оценку соотношения "польза - риск" рассматриваемого лекарственного средства.</w:t>
      </w:r>
    </w:p>
    <w:p>
      <w:pPr>
        <w:spacing w:after="120"/>
        <w:jc w:val="both"/>
      </w:pPr>
      <w:r>
        <w:rPr>
          <w:rFonts w:ascii="Arial" w:cs="Arial" w:eastAsia="Arial" w:hAnsi="Arial"/>
          <w:sz w:val="24"/>
          <w:szCs w:val="24"/>
        </w:rPr>
        <w:t xml:space="preserve">108. Сведения, предоставляемые заявителем в уполномоченный орган, должны включать как положительные, так и отрицательные результаты клинических исследований или иных исследований по всем показаниям и во всех группах пациентов, независимо от включения их в регистрационное досье, а также данные о применении лекарственного средства, если такое применение не соответствует требованиям регистрации.</w:t>
      </w:r>
    </w:p>
    <w:p>
      <w:pPr>
        <w:spacing w:after="120"/>
        <w:jc w:val="both"/>
      </w:pPr>
      <w:r>
        <w:rPr>
          <w:rFonts w:ascii="Arial" w:cs="Arial" w:eastAsia="Arial" w:hAnsi="Arial"/>
          <w:sz w:val="24"/>
          <w:szCs w:val="24"/>
        </w:rPr>
        <w:t xml:space="preserve">109. В случаях применения мер временных ограничений, связанных с выявлением риска для здоровья человека при применении зарегистрированного лекарственного средства в связи с вносимыми держателем регистрационного удостоверения изменениями в лекарственное средство, указанная информация должна быть передана им в срок не позднее дня, следующего за днем введения временных ограничений, в уполномоченный орган, с указанием причин, характера и даты ввода в действие временных ограничений.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w:t>
      </w:r>
      <w:hyperlink w:history="1" r:id="rIdfml3gi7luhiu6oy_t88fk">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государственной регистрации 
 лекарственных средств 
 для медицинского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Регистрационное досье лекарственного 
 препарата отечественных производителей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Регистрационное досье лекарственного препарата отечественных производителей лекарственных средств группируется по частям и представляется в уполномоченный орган в двух экземплярах.</w:t>
      </w:r>
    </w:p>
    <w:p>
      <w:pPr>
        <w:spacing w:after="120"/>
        <w:jc w:val="both"/>
      </w:pPr>
      <w:r>
        <w:rPr>
          <w:rFonts w:ascii="Arial" w:cs="Arial" w:eastAsia="Arial" w:hAnsi="Arial"/>
          <w:sz w:val="24"/>
          <w:szCs w:val="24"/>
        </w:rPr>
        <w:t xml:space="preserve">2. Регистрационное досье состоит из:</w:t>
      </w:r>
    </w:p>
    <w:p>
      <w:pPr>
        <w:spacing w:after="120"/>
        <w:jc w:val="both"/>
      </w:pPr>
      <w:r>
        <w:rPr>
          <w:rFonts w:ascii="Arial" w:cs="Arial" w:eastAsia="Arial" w:hAnsi="Arial"/>
          <w:sz w:val="24"/>
          <w:szCs w:val="24"/>
        </w:rPr>
        <w:t xml:space="preserve">1) первой части - I. Административные данные:</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проект инструкции по медицинскому применению;</w:t>
      </w:r>
    </w:p>
    <w:p>
      <w:pPr>
        <w:spacing w:after="120"/>
        <w:jc w:val="both"/>
      </w:pPr>
      <w:r>
        <w:rPr>
          <w:rFonts w:ascii="Arial" w:cs="Arial" w:eastAsia="Arial" w:hAnsi="Arial"/>
          <w:sz w:val="24"/>
          <w:szCs w:val="24"/>
        </w:rPr>
        <w:t xml:space="preserve">- копия документа (акта) о проведенной фармацевтической инспекции за последние 3 года;</w:t>
      </w:r>
    </w:p>
    <w:p>
      <w:pPr>
        <w:spacing w:after="120"/>
        <w:jc w:val="both"/>
      </w:pPr>
      <w:r>
        <w:rPr>
          <w:rFonts w:ascii="Arial" w:cs="Arial" w:eastAsia="Arial" w:hAnsi="Arial"/>
          <w:sz w:val="24"/>
          <w:szCs w:val="24"/>
        </w:rPr>
        <w:t xml:space="preserve">- сертификат, удостоверяющий производство лекарственного средства в условиях надлежащей производственной практики (при наличии, нотариально заверенная копия);</w:t>
      </w:r>
    </w:p>
    <w:p>
      <w:pPr>
        <w:spacing w:after="120"/>
        <w:jc w:val="both"/>
      </w:pPr>
      <w:r>
        <w:rPr>
          <w:rFonts w:ascii="Arial" w:cs="Arial" w:eastAsia="Arial" w:hAnsi="Arial"/>
          <w:sz w:val="24"/>
          <w:szCs w:val="24"/>
        </w:rPr>
        <w:t xml:space="preserve">- сертификат, подтверждающий безопасность лекарственного средства (прионовую) на вещества животного происхождения (если применимо);</w:t>
      </w:r>
    </w:p>
    <w:p>
      <w:pPr>
        <w:spacing w:after="120"/>
        <w:jc w:val="both"/>
      </w:pPr>
      <w:r>
        <w:rPr>
          <w:rFonts w:ascii="Arial" w:cs="Arial" w:eastAsia="Arial" w:hAnsi="Arial"/>
          <w:sz w:val="24"/>
          <w:szCs w:val="24"/>
        </w:rPr>
        <w:t xml:space="preserve">- сертификат на штамм микроорганизма (используемого при производстве вакцины, если применимо);</w:t>
      </w:r>
    </w:p>
    <w:p>
      <w:pPr>
        <w:spacing w:after="120"/>
        <w:jc w:val="both"/>
      </w:pPr>
      <w:r>
        <w:rPr>
          <w:rFonts w:ascii="Arial" w:cs="Arial" w:eastAsia="Arial" w:hAnsi="Arial"/>
          <w:sz w:val="24"/>
          <w:szCs w:val="24"/>
        </w:rPr>
        <w:t xml:space="preserve">- декларация о том, что заявитель не нарушает исключительных прав владельцев охранных документов Кыргызской Республики;</w:t>
      </w:r>
    </w:p>
    <w:p>
      <w:pPr>
        <w:spacing w:after="120"/>
        <w:jc w:val="both"/>
      </w:pPr>
      <w:r>
        <w:rPr>
          <w:rFonts w:ascii="Arial" w:cs="Arial" w:eastAsia="Arial" w:hAnsi="Arial"/>
          <w:sz w:val="24"/>
          <w:szCs w:val="24"/>
        </w:rPr>
        <w:t xml:space="preserve">- документ, подтверждающий качество активной фармацевтической субстанции (сертификат анализа/испытаний или протокол анализа/испытаний или аналитический паспорт), выданный производителем или аккредитованной испытательной лабораторией;</w:t>
      </w:r>
    </w:p>
    <w:p>
      <w:pPr>
        <w:spacing w:after="120"/>
        <w:jc w:val="both"/>
      </w:pPr>
      <w:r>
        <w:rPr>
          <w:rFonts w:ascii="Arial" w:cs="Arial" w:eastAsia="Arial" w:hAnsi="Arial"/>
          <w:sz w:val="24"/>
          <w:szCs w:val="24"/>
        </w:rPr>
        <w:t xml:space="preserve">- протоколы анализа/испытаний на три опытные серии лекарственного препарата или один протокол испытаний в сопровождении обязательства о предоставлении протоколов на две другие серии, как только они станут доступными (все протоколы должны подаваться по каждой заявленной производственной площадке), протоколы анализа/испытаний лекарственного препарата должны быть выданы лабораторией завода или сторонней аккредитованной испытательной лабораторией;</w:t>
      </w:r>
    </w:p>
    <w:p>
      <w:pPr>
        <w:spacing w:after="120"/>
        <w:jc w:val="both"/>
      </w:pPr>
      <w:r>
        <w:rPr>
          <w:rFonts w:ascii="Arial" w:cs="Arial" w:eastAsia="Arial" w:hAnsi="Arial"/>
          <w:sz w:val="24"/>
          <w:szCs w:val="24"/>
        </w:rPr>
        <w:t xml:space="preserve">- цветные макеты первичной и вторичной упаковок;</w:t>
      </w:r>
    </w:p>
    <w:p>
      <w:pPr>
        <w:spacing w:after="120"/>
        <w:jc w:val="both"/>
      </w:pPr>
      <w:r>
        <w:rPr>
          <w:rFonts w:ascii="Arial" w:cs="Arial" w:eastAsia="Arial" w:hAnsi="Arial"/>
          <w:sz w:val="24"/>
          <w:szCs w:val="24"/>
        </w:rPr>
        <w:t xml:space="preserve">2) второй части - II. Химическая, фармацевтическая и биологическая документация:</w:t>
      </w:r>
    </w:p>
    <w:p>
      <w:pPr>
        <w:spacing w:after="120"/>
        <w:jc w:val="both"/>
      </w:pPr>
      <w:r>
        <w:rPr>
          <w:rFonts w:ascii="Arial" w:cs="Arial" w:eastAsia="Arial" w:hAnsi="Arial"/>
          <w:sz w:val="24"/>
          <w:szCs w:val="24"/>
        </w:rPr>
        <w:t xml:space="preserve">- качественный и количественный состав лекарственного препарата (действующие, вспомогательные вещества, состав оболочки таблетки или корпуса капсулы);</w:t>
      </w:r>
    </w:p>
    <w:p>
      <w:pPr>
        <w:spacing w:after="120"/>
        <w:jc w:val="both"/>
      </w:pPr>
      <w:r>
        <w:rPr>
          <w:rFonts w:ascii="Arial" w:cs="Arial" w:eastAsia="Arial" w:hAnsi="Arial"/>
          <w:sz w:val="24"/>
          <w:szCs w:val="24"/>
        </w:rPr>
        <w:t xml:space="preserve">- производственная рецептура и метод изготовления (схема и краткое описание стадий технологического процесса);</w:t>
      </w:r>
    </w:p>
    <w:p>
      <w:pPr>
        <w:spacing w:after="120"/>
        <w:jc w:val="both"/>
      </w:pPr>
      <w:r>
        <w:rPr>
          <w:rFonts w:ascii="Arial" w:cs="Arial" w:eastAsia="Arial" w:hAnsi="Arial"/>
          <w:sz w:val="24"/>
          <w:szCs w:val="24"/>
        </w:rPr>
        <w:t xml:space="preserve">- валидация или оценка производственного процесса;</w:t>
      </w:r>
    </w:p>
    <w:p>
      <w:pPr>
        <w:spacing w:after="120"/>
        <w:jc w:val="both"/>
      </w:pPr>
      <w:r>
        <w:rPr>
          <w:rFonts w:ascii="Arial" w:cs="Arial" w:eastAsia="Arial" w:hAnsi="Arial"/>
          <w:sz w:val="24"/>
          <w:szCs w:val="24"/>
        </w:rPr>
        <w:t xml:space="preserve">- упаковочный материал (внутренняя/внешняя упаковка) и документы, регламентирующие качество первичных упаковочных материалов;</w:t>
      </w:r>
    </w:p>
    <w:p>
      <w:pPr>
        <w:spacing w:after="120"/>
        <w:jc w:val="both"/>
      </w:pPr>
      <w:r>
        <w:rPr>
          <w:rFonts w:ascii="Arial" w:cs="Arial" w:eastAsia="Arial" w:hAnsi="Arial"/>
          <w:sz w:val="24"/>
          <w:szCs w:val="24"/>
        </w:rPr>
        <w:t xml:space="preserve">- методы контроля качества активных субстанций (в случае использования субстанций, не вошедших в общепризнанные фармакопеи);</w:t>
      </w:r>
    </w:p>
    <w:p>
      <w:pPr>
        <w:spacing w:after="120"/>
        <w:jc w:val="both"/>
      </w:pPr>
      <w:r>
        <w:rPr>
          <w:rFonts w:ascii="Arial" w:cs="Arial" w:eastAsia="Arial" w:hAnsi="Arial"/>
          <w:sz w:val="24"/>
          <w:szCs w:val="24"/>
        </w:rPr>
        <w:t xml:space="preserve">- методы контроля качества вспомогательных веществ (кроме фармакопейных указать стандарты, по которым контролируются показатели качества вспомогательных веществ, например, ГОСТы, стандарты международных организаций);</w:t>
      </w:r>
    </w:p>
    <w:p>
      <w:pPr>
        <w:spacing w:after="120"/>
        <w:jc w:val="both"/>
      </w:pPr>
      <w:r>
        <w:rPr>
          <w:rFonts w:ascii="Arial" w:cs="Arial" w:eastAsia="Arial" w:hAnsi="Arial"/>
          <w:sz w:val="24"/>
          <w:szCs w:val="24"/>
        </w:rPr>
        <w:t xml:space="preserve">- методы контроля качества (спецификации) на промежуточные продукты (при наличии);</w:t>
      </w:r>
    </w:p>
    <w:p>
      <w:pPr>
        <w:spacing w:after="120"/>
        <w:jc w:val="both"/>
      </w:pPr>
      <w:r>
        <w:rPr>
          <w:rFonts w:ascii="Arial" w:cs="Arial" w:eastAsia="Arial" w:hAnsi="Arial"/>
          <w:sz w:val="24"/>
          <w:szCs w:val="24"/>
        </w:rPr>
        <w:t xml:space="preserve">- результаты испытания стабильности не менее чем на трех опытных сериях при долгосрочном хранении или ускоренном хранении с обязательством предоставить результаты долгосрочного хранения с указанием сроков предоставления;</w:t>
      </w:r>
    </w:p>
    <w:p>
      <w:pPr>
        <w:spacing w:after="120"/>
        <w:jc w:val="both"/>
      </w:pPr>
      <w:r>
        <w:rPr>
          <w:rFonts w:ascii="Arial" w:cs="Arial" w:eastAsia="Arial" w:hAnsi="Arial"/>
          <w:sz w:val="24"/>
          <w:szCs w:val="24"/>
        </w:rPr>
        <w:t xml:space="preserve">- утвержденный (производителем или аутсорсинговой испытательной лабораторией) нормативный документ по качеству лекарственного препарата;</w:t>
      </w:r>
    </w:p>
    <w:p>
      <w:pPr>
        <w:spacing w:after="120"/>
        <w:jc w:val="both"/>
      </w:pPr>
      <w:r>
        <w:rPr>
          <w:rFonts w:ascii="Arial" w:cs="Arial" w:eastAsia="Arial" w:hAnsi="Arial"/>
          <w:sz w:val="24"/>
          <w:szCs w:val="24"/>
        </w:rPr>
        <w:t xml:space="preserve">- валидация методик испытаний лекарственного препарата (не предоставляется в случае прямого использования фармакопейных методик);</w:t>
      </w:r>
    </w:p>
    <w:p>
      <w:pPr>
        <w:spacing w:after="120"/>
        <w:jc w:val="both"/>
      </w:pPr>
      <w:r>
        <w:rPr>
          <w:rFonts w:ascii="Arial" w:cs="Arial" w:eastAsia="Arial" w:hAnsi="Arial"/>
          <w:sz w:val="24"/>
          <w:szCs w:val="24"/>
        </w:rPr>
        <w:t xml:space="preserve">- сведения о профиле растворения твердых дозированных лекарственных форм (если применимо);</w:t>
      </w:r>
    </w:p>
    <w:p>
      <w:pPr>
        <w:spacing w:after="120"/>
        <w:jc w:val="both"/>
      </w:pPr>
      <w:r>
        <w:rPr>
          <w:rFonts w:ascii="Arial" w:cs="Arial" w:eastAsia="Arial" w:hAnsi="Arial"/>
          <w:sz w:val="24"/>
          <w:szCs w:val="24"/>
        </w:rPr>
        <w:t xml:space="preserve">3) третьей части - III. Фармакологическая и токсикологическая документация:</w:t>
      </w:r>
    </w:p>
    <w:p>
      <w:pPr>
        <w:spacing w:after="120"/>
        <w:jc w:val="both"/>
      </w:pPr>
      <w:r>
        <w:rPr>
          <w:rFonts w:ascii="Arial" w:cs="Arial" w:eastAsia="Arial" w:hAnsi="Arial"/>
          <w:sz w:val="24"/>
          <w:szCs w:val="24"/>
        </w:rPr>
        <w:t xml:space="preserve">- токсичность: исследования токсичности при однократном введении;</w:t>
      </w:r>
    </w:p>
    <w:p>
      <w:pPr>
        <w:spacing w:after="120"/>
        <w:jc w:val="both"/>
      </w:pPr>
      <w:r>
        <w:rPr>
          <w:rFonts w:ascii="Arial" w:cs="Arial" w:eastAsia="Arial" w:hAnsi="Arial"/>
          <w:sz w:val="24"/>
          <w:szCs w:val="24"/>
        </w:rPr>
        <w:t xml:space="preserve">- исследования токсичности при повторных введениях;</w:t>
      </w:r>
    </w:p>
    <w:p>
      <w:pPr>
        <w:spacing w:after="120"/>
        <w:jc w:val="both"/>
      </w:pPr>
      <w:r>
        <w:rPr>
          <w:rFonts w:ascii="Arial" w:cs="Arial" w:eastAsia="Arial" w:hAnsi="Arial"/>
          <w:sz w:val="24"/>
          <w:szCs w:val="24"/>
        </w:rPr>
        <w:t xml:space="preserve">- репродуктивная функция (фертильность и общая характеристика репродуктивной функции);</w:t>
      </w:r>
    </w:p>
    <w:p>
      <w:pPr>
        <w:spacing w:after="120"/>
        <w:jc w:val="both"/>
      </w:pPr>
      <w:r>
        <w:rPr>
          <w:rFonts w:ascii="Arial" w:cs="Arial" w:eastAsia="Arial" w:hAnsi="Arial"/>
          <w:sz w:val="24"/>
          <w:szCs w:val="24"/>
        </w:rPr>
        <w:t xml:space="preserve">- данные относительно эмбриотоксичности и тератогенности;</w:t>
      </w:r>
    </w:p>
    <w:p>
      <w:pPr>
        <w:spacing w:after="120"/>
        <w:jc w:val="both"/>
      </w:pPr>
      <w:r>
        <w:rPr>
          <w:rFonts w:ascii="Arial" w:cs="Arial" w:eastAsia="Arial" w:hAnsi="Arial"/>
          <w:sz w:val="24"/>
          <w:szCs w:val="24"/>
        </w:rPr>
        <w:t xml:space="preserve">- мутагенный потенциал;</w:t>
      </w:r>
    </w:p>
    <w:p>
      <w:pPr>
        <w:spacing w:after="120"/>
        <w:jc w:val="both"/>
      </w:pPr>
      <w:r>
        <w:rPr>
          <w:rFonts w:ascii="Arial" w:cs="Arial" w:eastAsia="Arial" w:hAnsi="Arial"/>
          <w:sz w:val="24"/>
          <w:szCs w:val="24"/>
        </w:rPr>
        <w:t xml:space="preserve">- канцерогенный потенциал;</w:t>
      </w:r>
    </w:p>
    <w:p>
      <w:pPr>
        <w:spacing w:after="120"/>
        <w:jc w:val="both"/>
      </w:pPr>
      <w:r>
        <w:rPr>
          <w:rFonts w:ascii="Arial" w:cs="Arial" w:eastAsia="Arial" w:hAnsi="Arial"/>
          <w:sz w:val="24"/>
          <w:szCs w:val="24"/>
        </w:rPr>
        <w:t xml:space="preserve">- фармакодинамика (общая фармакодинамика и фармакодинамические эффекты относительно показаний лекарственного препарата);</w:t>
      </w:r>
    </w:p>
    <w:p>
      <w:pPr>
        <w:spacing w:after="120"/>
        <w:jc w:val="both"/>
      </w:pPr>
      <w:r>
        <w:rPr>
          <w:rFonts w:ascii="Arial" w:cs="Arial" w:eastAsia="Arial" w:hAnsi="Arial"/>
          <w:sz w:val="24"/>
          <w:szCs w:val="24"/>
        </w:rPr>
        <w:t xml:space="preserve">- лекарственные взаимодействия;</w:t>
      </w:r>
    </w:p>
    <w:p>
      <w:pPr>
        <w:spacing w:after="120"/>
        <w:jc w:val="both"/>
      </w:pPr>
      <w:r>
        <w:rPr>
          <w:rFonts w:ascii="Arial" w:cs="Arial" w:eastAsia="Arial" w:hAnsi="Arial"/>
          <w:sz w:val="24"/>
          <w:szCs w:val="24"/>
        </w:rPr>
        <w:t xml:space="preserve">- данные по изучению фармакокинетики;</w:t>
      </w:r>
    </w:p>
    <w:p>
      <w:pPr>
        <w:spacing w:after="120"/>
        <w:jc w:val="both"/>
      </w:pPr>
      <w:r>
        <w:rPr>
          <w:rFonts w:ascii="Arial" w:cs="Arial" w:eastAsia="Arial" w:hAnsi="Arial"/>
          <w:sz w:val="24"/>
          <w:szCs w:val="24"/>
        </w:rPr>
        <w:t xml:space="preserve">- местная переносимость;</w:t>
      </w:r>
    </w:p>
    <w:p>
      <w:pPr>
        <w:spacing w:after="120"/>
        <w:jc w:val="both"/>
      </w:pPr>
      <w:r>
        <w:rPr>
          <w:rFonts w:ascii="Arial" w:cs="Arial" w:eastAsia="Arial" w:hAnsi="Arial"/>
          <w:sz w:val="24"/>
          <w:szCs w:val="24"/>
        </w:rPr>
        <w:t xml:space="preserve">- данные относительно аллергенности, непереносимости;</w:t>
      </w:r>
    </w:p>
    <w:p>
      <w:pPr>
        <w:spacing w:after="120"/>
        <w:jc w:val="both"/>
      </w:pPr>
      <w:r>
        <w:rPr>
          <w:rFonts w:ascii="Arial" w:cs="Arial" w:eastAsia="Arial" w:hAnsi="Arial"/>
          <w:sz w:val="24"/>
          <w:szCs w:val="24"/>
        </w:rPr>
        <w:t xml:space="preserve">- данные относительно возможной опасности для окружающей среды препаратов, которые содержат генетически модифицированные микроорганизмы;</w:t>
      </w:r>
    </w:p>
    <w:p>
      <w:pPr>
        <w:spacing w:after="120"/>
        <w:jc w:val="both"/>
      </w:pPr>
      <w:r>
        <w:rPr>
          <w:rFonts w:ascii="Arial" w:cs="Arial" w:eastAsia="Arial" w:hAnsi="Arial"/>
          <w:sz w:val="24"/>
          <w:szCs w:val="24"/>
        </w:rPr>
        <w:t xml:space="preserve">- для лекарственных препаратов животного происхождения в разделе должна быть дана такая дополнительная информация:</w:t>
      </w:r>
    </w:p>
    <w:p>
      <w:pPr>
        <w:spacing w:after="120"/>
        <w:jc w:val="both"/>
      </w:pPr>
      <w:r>
        <w:rPr>
          <w:rFonts w:ascii="Arial" w:cs="Arial" w:eastAsia="Arial" w:hAnsi="Arial"/>
          <w:sz w:val="24"/>
          <w:szCs w:val="24"/>
        </w:rPr>
        <w:t xml:space="preserve">данные о виде, возрасте, рационе животных, от которых получено сырье;</w:t>
      </w:r>
    </w:p>
    <w:p>
      <w:pPr>
        <w:spacing w:after="120"/>
        <w:jc w:val="both"/>
      </w:pPr>
      <w:r>
        <w:rPr>
          <w:rFonts w:ascii="Arial" w:cs="Arial" w:eastAsia="Arial" w:hAnsi="Arial"/>
          <w:sz w:val="24"/>
          <w:szCs w:val="24"/>
        </w:rPr>
        <w:t xml:space="preserve">данные о характере (категории) ткани, из которой получено сырье для производства лекарственного средства, с точки зрения ее безопасности, касающейся содержания прионов;</w:t>
      </w:r>
    </w:p>
    <w:p>
      <w:pPr>
        <w:spacing w:after="120"/>
        <w:jc w:val="both"/>
      </w:pPr>
      <w:r>
        <w:rPr>
          <w:rFonts w:ascii="Arial" w:cs="Arial" w:eastAsia="Arial" w:hAnsi="Arial"/>
          <w:sz w:val="24"/>
          <w:szCs w:val="24"/>
        </w:rPr>
        <w:t xml:space="preserve">технологическая схема обработки сырья, с указанием экстрагентов, температурного режима;</w:t>
      </w:r>
    </w:p>
    <w:p>
      <w:pPr>
        <w:spacing w:after="120"/>
        <w:jc w:val="both"/>
      </w:pPr>
      <w:r>
        <w:rPr>
          <w:rFonts w:ascii="Arial" w:cs="Arial" w:eastAsia="Arial" w:hAnsi="Arial"/>
          <w:sz w:val="24"/>
          <w:szCs w:val="24"/>
        </w:rPr>
        <w:t xml:space="preserve">методы контроля исходного сырья, включая методы выявления прионов в конечном средстве (по необходимости);</w:t>
      </w:r>
    </w:p>
    <w:p>
      <w:pPr>
        <w:spacing w:after="120"/>
        <w:jc w:val="both"/>
      </w:pPr>
      <w:r>
        <w:rPr>
          <w:rFonts w:ascii="Arial" w:cs="Arial" w:eastAsia="Arial" w:hAnsi="Arial"/>
          <w:sz w:val="24"/>
          <w:szCs w:val="24"/>
        </w:rPr>
        <w:t xml:space="preserve">4) четвертой части - IV. Клиническая документация:</w:t>
      </w:r>
    </w:p>
    <w:p>
      <w:pPr>
        <w:spacing w:after="120"/>
        <w:jc w:val="both"/>
      </w:pPr>
      <w:r>
        <w:rPr>
          <w:rFonts w:ascii="Arial" w:cs="Arial" w:eastAsia="Arial" w:hAnsi="Arial"/>
          <w:sz w:val="24"/>
          <w:szCs w:val="24"/>
        </w:rPr>
        <w:t xml:space="preserve">- клиническая фармакология (фармакодинамика, фармакокинетика);</w:t>
      </w:r>
    </w:p>
    <w:p>
      <w:pPr>
        <w:spacing w:after="120"/>
        <w:jc w:val="both"/>
      </w:pPr>
      <w:r>
        <w:rPr>
          <w:rFonts w:ascii="Arial" w:cs="Arial" w:eastAsia="Arial" w:hAnsi="Arial"/>
          <w:sz w:val="24"/>
          <w:szCs w:val="24"/>
        </w:rPr>
        <w:t xml:space="preserve">- клинический опыт:</w:t>
      </w:r>
    </w:p>
    <w:p>
      <w:pPr>
        <w:spacing w:after="120"/>
        <w:jc w:val="both"/>
      </w:pPr>
      <w:r>
        <w:rPr>
          <w:rFonts w:ascii="Arial" w:cs="Arial" w:eastAsia="Arial" w:hAnsi="Arial"/>
          <w:sz w:val="24"/>
          <w:szCs w:val="24"/>
        </w:rPr>
        <w:t xml:space="preserve">клинические испытания на заявленный лекарственный препарат (отчеты об исследовании эффективности и безопасности);</w:t>
      </w:r>
    </w:p>
    <w:p>
      <w:pPr>
        <w:spacing w:after="120"/>
        <w:jc w:val="both"/>
      </w:pPr>
      <w:r>
        <w:rPr>
          <w:rFonts w:ascii="Arial" w:cs="Arial" w:eastAsia="Arial" w:hAnsi="Arial"/>
          <w:sz w:val="24"/>
          <w:szCs w:val="24"/>
        </w:rPr>
        <w:t xml:space="preserve">пострегистрационный опыт (если таковой имеется);</w:t>
      </w:r>
    </w:p>
    <w:p>
      <w:pPr>
        <w:spacing w:after="120"/>
        <w:jc w:val="both"/>
      </w:pPr>
      <w:r>
        <w:rPr>
          <w:rFonts w:ascii="Arial" w:cs="Arial" w:eastAsia="Arial" w:hAnsi="Arial"/>
          <w:sz w:val="24"/>
          <w:szCs w:val="24"/>
        </w:rPr>
        <w:t xml:space="preserve">опубликованные и неопубликованные данные относительно клинического опыта.</w:t>
      </w:r>
    </w:p>
    <w:p>
      <w:pPr>
        <w:spacing w:after="120"/>
        <w:jc w:val="both"/>
      </w:pPr>
      <w:r>
        <w:rPr>
          <w:rFonts w:ascii="Arial" w:cs="Arial" w:eastAsia="Arial" w:hAnsi="Arial"/>
          <w:sz w:val="24"/>
          <w:szCs w:val="24"/>
        </w:rPr>
        <w:t xml:space="preserve">3. Для регистрации нового лекарственного средства, биологических и биотехнологических лекарственных средств, а также биосимиляров предоставляются части I, II, III, IV.</w:t>
      </w:r>
    </w:p>
    <w:p>
      <w:pPr>
        <w:spacing w:after="120"/>
        <w:jc w:val="both"/>
      </w:pPr>
      <w:r>
        <w:rPr>
          <w:rFonts w:ascii="Arial" w:cs="Arial" w:eastAsia="Arial" w:hAnsi="Arial"/>
          <w:sz w:val="24"/>
          <w:szCs w:val="24"/>
        </w:rPr>
        <w:t xml:space="preserve">4. Для регистрации иммунобиологических препаратов (вакцин) предоставляются части I, II, III, IV и следующие данные:</w:t>
      </w:r>
    </w:p>
    <w:p>
      <w:pPr>
        <w:spacing w:after="120"/>
        <w:jc w:val="both"/>
      </w:pPr>
      <w:r>
        <w:rPr>
          <w:rFonts w:ascii="Arial" w:cs="Arial" w:eastAsia="Arial" w:hAnsi="Arial"/>
          <w:sz w:val="24"/>
          <w:szCs w:val="24"/>
        </w:rPr>
        <w:t xml:space="preserve">1) характеристика питательной среды и субстратов для выращивания микроорганизмов;</w:t>
      </w:r>
    </w:p>
    <w:p>
      <w:pPr>
        <w:spacing w:after="120"/>
        <w:jc w:val="both"/>
      </w:pPr>
      <w:r>
        <w:rPr>
          <w:rFonts w:ascii="Arial" w:cs="Arial" w:eastAsia="Arial" w:hAnsi="Arial"/>
          <w:sz w:val="24"/>
          <w:szCs w:val="24"/>
        </w:rPr>
        <w:t xml:space="preserve">2) протокол проверки рабочей посевной серии микроорганизма;</w:t>
      </w:r>
    </w:p>
    <w:p>
      <w:pPr>
        <w:spacing w:after="120"/>
        <w:jc w:val="both"/>
      </w:pPr>
      <w:r>
        <w:rPr>
          <w:rFonts w:ascii="Arial" w:cs="Arial" w:eastAsia="Arial" w:hAnsi="Arial"/>
          <w:sz w:val="24"/>
          <w:szCs w:val="24"/>
        </w:rPr>
        <w:t xml:space="preserve">3) результаты тестирования готовой вакцинной массы (титр микроорганизма, тест на стерильность);</w:t>
      </w:r>
    </w:p>
    <w:p>
      <w:pPr>
        <w:spacing w:after="120"/>
        <w:jc w:val="both"/>
      </w:pPr>
      <w:r>
        <w:rPr>
          <w:rFonts w:ascii="Arial" w:cs="Arial" w:eastAsia="Arial" w:hAnsi="Arial"/>
          <w:sz w:val="24"/>
          <w:szCs w:val="24"/>
        </w:rPr>
        <w:t xml:space="preserve">4) результаты тестирования конечного средства:</w:t>
      </w:r>
    </w:p>
    <w:p>
      <w:pPr>
        <w:spacing w:after="120"/>
        <w:jc w:val="both"/>
      </w:pPr>
      <w:r>
        <w:rPr>
          <w:rFonts w:ascii="Arial" w:cs="Arial" w:eastAsia="Arial" w:hAnsi="Arial"/>
          <w:sz w:val="24"/>
          <w:szCs w:val="24"/>
        </w:rPr>
        <w:t xml:space="preserve">- подлинность;</w:t>
      </w:r>
    </w:p>
    <w:p>
      <w:pPr>
        <w:spacing w:after="120"/>
        <w:jc w:val="both"/>
      </w:pPr>
      <w:r>
        <w:rPr>
          <w:rFonts w:ascii="Arial" w:cs="Arial" w:eastAsia="Arial" w:hAnsi="Arial"/>
          <w:sz w:val="24"/>
          <w:szCs w:val="24"/>
        </w:rPr>
        <w:t xml:space="preserve">- пирогенность;</w:t>
      </w:r>
    </w:p>
    <w:p>
      <w:pPr>
        <w:spacing w:after="120"/>
        <w:jc w:val="both"/>
      </w:pPr>
      <w:r>
        <w:rPr>
          <w:rFonts w:ascii="Arial" w:cs="Arial" w:eastAsia="Arial" w:hAnsi="Arial"/>
          <w:sz w:val="24"/>
          <w:szCs w:val="24"/>
        </w:rPr>
        <w:t xml:space="preserve">- концентрация микроорганизма (титр);</w:t>
      </w:r>
    </w:p>
    <w:p>
      <w:pPr>
        <w:spacing w:after="120"/>
        <w:jc w:val="both"/>
      </w:pPr>
      <w:r>
        <w:rPr>
          <w:rFonts w:ascii="Arial" w:cs="Arial" w:eastAsia="Arial" w:hAnsi="Arial"/>
          <w:sz w:val="24"/>
          <w:szCs w:val="24"/>
        </w:rPr>
        <w:t xml:space="preserve">- тест на безопасность;</w:t>
      </w:r>
    </w:p>
    <w:p>
      <w:pPr>
        <w:spacing w:after="120"/>
        <w:jc w:val="both"/>
      </w:pPr>
      <w:r>
        <w:rPr>
          <w:rFonts w:ascii="Arial" w:cs="Arial" w:eastAsia="Arial" w:hAnsi="Arial"/>
          <w:sz w:val="24"/>
          <w:szCs w:val="24"/>
        </w:rPr>
        <w:t xml:space="preserve">- тест на иммуногенность;</w:t>
      </w:r>
    </w:p>
    <w:p>
      <w:pPr>
        <w:spacing w:after="120"/>
        <w:jc w:val="both"/>
      </w:pPr>
      <w:r>
        <w:rPr>
          <w:rFonts w:ascii="Arial" w:cs="Arial" w:eastAsia="Arial" w:hAnsi="Arial"/>
          <w:sz w:val="24"/>
          <w:szCs w:val="24"/>
        </w:rPr>
        <w:t xml:space="preserve">- тест на посторонние агенты, проводимый на мелких лабораторных животных;</w:t>
      </w:r>
    </w:p>
    <w:p>
      <w:pPr>
        <w:spacing w:after="120"/>
        <w:jc w:val="both"/>
      </w:pPr>
      <w:r>
        <w:rPr>
          <w:rFonts w:ascii="Arial" w:cs="Arial" w:eastAsia="Arial" w:hAnsi="Arial"/>
          <w:sz w:val="24"/>
          <w:szCs w:val="24"/>
        </w:rPr>
        <w:t xml:space="preserve">- остаточная влажность;</w:t>
      </w:r>
    </w:p>
    <w:p>
      <w:pPr>
        <w:spacing w:after="120"/>
        <w:jc w:val="both"/>
      </w:pPr>
      <w:r>
        <w:rPr>
          <w:rFonts w:ascii="Arial" w:cs="Arial" w:eastAsia="Arial" w:hAnsi="Arial"/>
          <w:sz w:val="24"/>
          <w:szCs w:val="24"/>
        </w:rPr>
        <w:t xml:space="preserve">- визуальный осмотр заполненной ампулы.</w:t>
      </w:r>
    </w:p>
    <w:p>
      <w:pPr>
        <w:spacing w:after="120"/>
        <w:jc w:val="both"/>
      </w:pPr>
      <w:r>
        <w:rPr>
          <w:rFonts w:ascii="Arial" w:cs="Arial" w:eastAsia="Arial" w:hAnsi="Arial"/>
          <w:sz w:val="24"/>
          <w:szCs w:val="24"/>
        </w:rPr>
        <w:t xml:space="preserve">5. Для вакцин, производимых из человеческой крови, например, поверхностный антиген вируса гепатита В, дополнительно требуются:</w:t>
      </w:r>
    </w:p>
    <w:p>
      <w:pPr>
        <w:spacing w:after="120"/>
        <w:jc w:val="both"/>
      </w:pPr>
      <w:r>
        <w:rPr>
          <w:rFonts w:ascii="Arial" w:cs="Arial" w:eastAsia="Arial" w:hAnsi="Arial"/>
          <w:sz w:val="24"/>
          <w:szCs w:val="24"/>
        </w:rPr>
        <w:t xml:space="preserve">- результаты тестирования крови доноров на ВИЧ-инфекцию;</w:t>
      </w:r>
    </w:p>
    <w:p>
      <w:pPr>
        <w:spacing w:after="120"/>
        <w:jc w:val="both"/>
      </w:pPr>
      <w:r>
        <w:rPr>
          <w:rFonts w:ascii="Arial" w:cs="Arial" w:eastAsia="Arial" w:hAnsi="Arial"/>
          <w:sz w:val="24"/>
          <w:szCs w:val="24"/>
        </w:rPr>
        <w:t xml:space="preserve">- результаты тестирования на присутствие других вирусов;</w:t>
      </w:r>
    </w:p>
    <w:p>
      <w:pPr>
        <w:spacing w:after="120"/>
        <w:jc w:val="both"/>
      </w:pPr>
      <w:r>
        <w:rPr>
          <w:rFonts w:ascii="Arial" w:cs="Arial" w:eastAsia="Arial" w:hAnsi="Arial"/>
          <w:sz w:val="24"/>
          <w:szCs w:val="24"/>
        </w:rPr>
        <w:t xml:space="preserve">- результаты тестирования на содержание антигена и общего белка;</w:t>
      </w:r>
    </w:p>
    <w:p>
      <w:pPr>
        <w:spacing w:after="120"/>
        <w:jc w:val="both"/>
      </w:pPr>
      <w:r>
        <w:rPr>
          <w:rFonts w:ascii="Arial" w:cs="Arial" w:eastAsia="Arial" w:hAnsi="Arial"/>
          <w:sz w:val="24"/>
          <w:szCs w:val="24"/>
        </w:rPr>
        <w:t xml:space="preserve">- результаты тестирования на чистоту антигена;</w:t>
      </w:r>
    </w:p>
    <w:p>
      <w:pPr>
        <w:spacing w:after="120"/>
        <w:jc w:val="both"/>
      </w:pPr>
      <w:r>
        <w:rPr>
          <w:rFonts w:ascii="Arial" w:cs="Arial" w:eastAsia="Arial" w:hAnsi="Arial"/>
          <w:sz w:val="24"/>
          <w:szCs w:val="24"/>
        </w:rPr>
        <w:t xml:space="preserve">- результаты тестирования на стерильность.</w:t>
      </w:r>
    </w:p>
    <w:p>
      <w:pPr>
        <w:spacing w:after="120"/>
        <w:jc w:val="both"/>
      </w:pPr>
      <w:r>
        <w:rPr>
          <w:rFonts w:ascii="Arial" w:cs="Arial" w:eastAsia="Arial" w:hAnsi="Arial"/>
          <w:sz w:val="24"/>
          <w:szCs w:val="24"/>
        </w:rPr>
        <w:t xml:space="preserve">6. При регистрации иммунобиологических препаратов (сывороток, иммуноглобулинов и препаратов крови) предоставляются части I, II, III, IV и следующие данные:</w:t>
      </w:r>
    </w:p>
    <w:p>
      <w:pPr>
        <w:spacing w:after="120"/>
        <w:jc w:val="both"/>
      </w:pPr>
      <w:r>
        <w:rPr>
          <w:rFonts w:ascii="Arial" w:cs="Arial" w:eastAsia="Arial" w:hAnsi="Arial"/>
          <w:sz w:val="24"/>
          <w:szCs w:val="24"/>
        </w:rPr>
        <w:t xml:space="preserve">- результат тестирования крови доноров на ВИЧ-инфекцию;</w:t>
      </w:r>
    </w:p>
    <w:p>
      <w:pPr>
        <w:spacing w:after="120"/>
        <w:jc w:val="both"/>
      </w:pPr>
      <w:r>
        <w:rPr>
          <w:rFonts w:ascii="Arial" w:cs="Arial" w:eastAsia="Arial" w:hAnsi="Arial"/>
          <w:sz w:val="24"/>
          <w:szCs w:val="24"/>
        </w:rPr>
        <w:t xml:space="preserve">- результат тестирования крови доноров на вирусы гепатита;</w:t>
      </w:r>
    </w:p>
    <w:p>
      <w:pPr>
        <w:spacing w:after="120"/>
        <w:jc w:val="both"/>
      </w:pPr>
      <w:r>
        <w:rPr>
          <w:rFonts w:ascii="Arial" w:cs="Arial" w:eastAsia="Arial" w:hAnsi="Arial"/>
          <w:sz w:val="24"/>
          <w:szCs w:val="24"/>
        </w:rPr>
        <w:t xml:space="preserve">- результаты тестирования конечного средства;</w:t>
      </w:r>
    </w:p>
    <w:p>
      <w:pPr>
        <w:spacing w:after="120"/>
        <w:jc w:val="both"/>
      </w:pPr>
      <w:r>
        <w:rPr>
          <w:rFonts w:ascii="Arial" w:cs="Arial" w:eastAsia="Arial" w:hAnsi="Arial"/>
          <w:sz w:val="24"/>
          <w:szCs w:val="24"/>
        </w:rPr>
        <w:t xml:space="preserve">- идентичность;</w:t>
      </w:r>
    </w:p>
    <w:p>
      <w:pPr>
        <w:spacing w:after="120"/>
        <w:jc w:val="both"/>
      </w:pPr>
      <w:r>
        <w:rPr>
          <w:rFonts w:ascii="Arial" w:cs="Arial" w:eastAsia="Arial" w:hAnsi="Arial"/>
          <w:sz w:val="24"/>
          <w:szCs w:val="24"/>
        </w:rPr>
        <w:t xml:space="preserve">- пирогенность;</w:t>
      </w:r>
    </w:p>
    <w:p>
      <w:pPr>
        <w:spacing w:after="120"/>
        <w:jc w:val="both"/>
      </w:pPr>
      <w:r>
        <w:rPr>
          <w:rFonts w:ascii="Arial" w:cs="Arial" w:eastAsia="Arial" w:hAnsi="Arial"/>
          <w:sz w:val="24"/>
          <w:szCs w:val="24"/>
        </w:rPr>
        <w:t xml:space="preserve">- определение концентрации и чистоты белка;</w:t>
      </w:r>
    </w:p>
    <w:p>
      <w:pPr>
        <w:spacing w:after="120"/>
        <w:jc w:val="both"/>
      </w:pPr>
      <w:r>
        <w:rPr>
          <w:rFonts w:ascii="Arial" w:cs="Arial" w:eastAsia="Arial" w:hAnsi="Arial"/>
          <w:sz w:val="24"/>
          <w:szCs w:val="24"/>
        </w:rPr>
        <w:t xml:space="preserve">- тест на безопасность;</w:t>
      </w:r>
    </w:p>
    <w:p>
      <w:pPr>
        <w:spacing w:after="120"/>
        <w:jc w:val="both"/>
      </w:pPr>
      <w:r>
        <w:rPr>
          <w:rFonts w:ascii="Arial" w:cs="Arial" w:eastAsia="Arial" w:hAnsi="Arial"/>
          <w:sz w:val="24"/>
          <w:szCs w:val="24"/>
        </w:rPr>
        <w:t xml:space="preserve">- остаточная влажность;</w:t>
      </w:r>
    </w:p>
    <w:p>
      <w:pPr>
        <w:spacing w:after="120"/>
        <w:jc w:val="both"/>
      </w:pPr>
      <w:r>
        <w:rPr>
          <w:rFonts w:ascii="Arial" w:cs="Arial" w:eastAsia="Arial" w:hAnsi="Arial"/>
          <w:sz w:val="24"/>
          <w:szCs w:val="24"/>
        </w:rPr>
        <w:t xml:space="preserve">- визуальный осмотр заполненной ампулы.</w:t>
      </w:r>
    </w:p>
    <w:p>
      <w:pPr>
        <w:spacing w:after="120"/>
        <w:jc w:val="both"/>
      </w:pPr>
      <w:r>
        <w:rPr>
          <w:rFonts w:ascii="Arial" w:cs="Arial" w:eastAsia="Arial" w:hAnsi="Arial"/>
          <w:sz w:val="24"/>
          <w:szCs w:val="24"/>
        </w:rPr>
        <w:t xml:space="preserve">7. При регистрации биосимиляров предоставляются части I, II, III, IV и следующие данные:</w:t>
      </w:r>
    </w:p>
    <w:p>
      <w:pPr>
        <w:spacing w:after="120"/>
        <w:jc w:val="both"/>
      </w:pPr>
      <w:r>
        <w:rPr>
          <w:rFonts w:ascii="Arial" w:cs="Arial" w:eastAsia="Arial" w:hAnsi="Arial"/>
          <w:sz w:val="24"/>
          <w:szCs w:val="24"/>
        </w:rPr>
        <w:t xml:space="preserve">- доказательства структурного подобия эталонному биологическому лекарственному средству и идентичности состава;</w:t>
      </w:r>
    </w:p>
    <w:p>
      <w:pPr>
        <w:spacing w:after="120"/>
        <w:jc w:val="both"/>
      </w:pPr>
      <w:r>
        <w:rPr>
          <w:rFonts w:ascii="Arial" w:cs="Arial" w:eastAsia="Arial" w:hAnsi="Arial"/>
          <w:sz w:val="24"/>
          <w:szCs w:val="24"/>
        </w:rPr>
        <w:t xml:space="preserve">- отчеты о доклинических исследованиях сравнительного характера;</w:t>
      </w:r>
    </w:p>
    <w:p>
      <w:pPr>
        <w:spacing w:after="120"/>
        <w:jc w:val="both"/>
      </w:pPr>
      <w:r>
        <w:rPr>
          <w:rFonts w:ascii="Arial" w:cs="Arial" w:eastAsia="Arial" w:hAnsi="Arial"/>
          <w:sz w:val="24"/>
          <w:szCs w:val="24"/>
        </w:rPr>
        <w:t xml:space="preserve">- отчеты клинических исследований безопасности и эффективности, иммуногенности биосимиляра;</w:t>
      </w:r>
    </w:p>
    <w:p>
      <w:pPr>
        <w:spacing w:after="120"/>
        <w:jc w:val="both"/>
      </w:pPr>
      <w:r>
        <w:rPr>
          <w:rFonts w:ascii="Arial" w:cs="Arial" w:eastAsia="Arial" w:hAnsi="Arial"/>
          <w:sz w:val="24"/>
          <w:szCs w:val="24"/>
        </w:rPr>
        <w:t xml:space="preserve">- информация по фармаконадзору и управлению рисками (установленные в процессе разработки и потенциальные) на заявляемый препарат для обеспечения надлежащего мониторинга побочных действий лекарственных препаратов и их оценки;</w:t>
      </w:r>
    </w:p>
    <w:p>
      <w:pPr>
        <w:spacing w:after="120"/>
        <w:jc w:val="both"/>
      </w:pPr>
      <w:r>
        <w:rPr>
          <w:rFonts w:ascii="Arial" w:cs="Arial" w:eastAsia="Arial" w:hAnsi="Arial"/>
          <w:sz w:val="24"/>
          <w:szCs w:val="24"/>
        </w:rPr>
        <w:t xml:space="preserve">- соотношение "польза - риск" в постмаркетинговом периоде;</w:t>
      </w:r>
    </w:p>
    <w:p>
      <w:pPr>
        <w:spacing w:after="120"/>
        <w:jc w:val="both"/>
      </w:pPr>
      <w:r>
        <w:rPr>
          <w:rFonts w:ascii="Arial" w:cs="Arial" w:eastAsia="Arial" w:hAnsi="Arial"/>
          <w:sz w:val="24"/>
          <w:szCs w:val="24"/>
        </w:rPr>
        <w:t xml:space="preserve">- инструкция по медицинскому применению с указанием того, что является воспроизведенным биологическим лекарственным средством.</w:t>
      </w:r>
    </w:p>
    <w:p>
      <w:pPr>
        <w:spacing w:after="120"/>
        <w:jc w:val="both"/>
      </w:pPr>
      <w:r>
        <w:rPr>
          <w:rFonts w:ascii="Arial" w:cs="Arial" w:eastAsia="Arial" w:hAnsi="Arial"/>
          <w:sz w:val="24"/>
          <w:szCs w:val="24"/>
        </w:rPr>
        <w:t xml:space="preserve">8. При регистрации воспроизведенного (генерического) лекарственного препарата предоставляются:</w:t>
      </w:r>
    </w:p>
    <w:p>
      <w:pPr>
        <w:spacing w:after="120"/>
        <w:jc w:val="both"/>
      </w:pPr>
      <w:r>
        <w:rPr>
          <w:rFonts w:ascii="Arial" w:cs="Arial" w:eastAsia="Arial" w:hAnsi="Arial"/>
          <w:sz w:val="24"/>
          <w:szCs w:val="24"/>
        </w:rPr>
        <w:t xml:space="preserve">- части I, II;</w:t>
      </w:r>
    </w:p>
    <w:p>
      <w:pPr>
        <w:spacing w:after="120"/>
        <w:jc w:val="both"/>
      </w:pPr>
      <w:r>
        <w:rPr>
          <w:rFonts w:ascii="Arial" w:cs="Arial" w:eastAsia="Arial" w:hAnsi="Arial"/>
          <w:sz w:val="24"/>
          <w:szCs w:val="24"/>
        </w:rPr>
        <w:t xml:space="preserve">- данные относительно аллергенности (если применимо);</w:t>
      </w:r>
    </w:p>
    <w:p>
      <w:pPr>
        <w:spacing w:after="120"/>
        <w:jc w:val="both"/>
      </w:pPr>
      <w:r>
        <w:rPr>
          <w:rFonts w:ascii="Arial" w:cs="Arial" w:eastAsia="Arial" w:hAnsi="Arial"/>
          <w:sz w:val="24"/>
          <w:szCs w:val="24"/>
        </w:rPr>
        <w:t xml:space="preserve">- данные относительно возможной опасности для окружающей среды препаратов, которые содержат генетически модифицированные микроорганизмы (если применимо);</w:t>
      </w:r>
    </w:p>
    <w:p>
      <w:pPr>
        <w:spacing w:after="120"/>
        <w:jc w:val="both"/>
      </w:pPr>
      <w:r>
        <w:rPr>
          <w:rFonts w:ascii="Arial" w:cs="Arial" w:eastAsia="Arial" w:hAnsi="Arial"/>
          <w:sz w:val="24"/>
          <w:szCs w:val="24"/>
        </w:rPr>
        <w:t xml:space="preserve">- данные по фармацевтической эквивалентности.</w:t>
      </w:r>
    </w:p>
    <w:p>
      <w:pPr>
        <w:spacing w:after="120"/>
        <w:jc w:val="both"/>
      </w:pPr>
      <w:r>
        <w:rPr>
          <w:rFonts w:ascii="Arial" w:cs="Arial" w:eastAsia="Arial" w:hAnsi="Arial"/>
          <w:sz w:val="24"/>
          <w:szCs w:val="24"/>
        </w:rPr>
        <w:t xml:space="preserve">9. Выбор референтного препарата для целей подтверждения фармацевтической эквивалентности осуществляется в соответствии с правилами проведения исследований эквивалентности лекарственных препаратов, принятых/опубликованных Советом Евразийского экономического союза или международными организациями (Всемирная организация здравоохранения, Европейское медицинского агентство, Американское федеральное управление по надзору за качеством пищевых и лекарственных препаратов).</w:t>
      </w:r>
    </w:p>
    <w:p>
      <w:pPr>
        <w:spacing w:after="120"/>
        <w:jc w:val="both"/>
      </w:pPr>
      <w:r>
        <w:rPr>
          <w:rFonts w:ascii="Arial" w:cs="Arial" w:eastAsia="Arial" w:hAnsi="Arial"/>
          <w:sz w:val="24"/>
          <w:szCs w:val="24"/>
        </w:rPr>
        <w:t xml:space="preserve">10. Инструкция по медицинскому применению воспроизведенного лекарственного препарата должна соответствовать инструкции по медицинскому применению выбранного референтного лекарственного препарата. В случае отличия показаний к применению в сторону расширения или режима дозирования либо пути введения в инструкции по медицинскому применению воспроизведенного лекарственного препарата от референтного лекарственного препарата следует предоставить результаты клинических исследований.</w:t>
      </w:r>
    </w:p>
    <w:p>
      <w:pPr>
        <w:spacing w:after="120"/>
        <w:jc w:val="both"/>
      </w:pPr>
      <w:r>
        <w:rPr>
          <w:rFonts w:ascii="Arial" w:cs="Arial" w:eastAsia="Arial" w:hAnsi="Arial"/>
          <w:sz w:val="24"/>
          <w:szCs w:val="24"/>
        </w:rPr>
        <w:t xml:space="preserve">11. В случае если активное вещество воспроизведенного лекарственного препарата представлено другой солью, эфиром или производным активного вещества зарегистрированного препарата, представляются дополнительная информация (библиографические обзоры) или отчеты соответствующих доклинических и (или) клинических исследований (исследований сравнительной биодоступности), доказывающие отсутствие изменений в фармакокинетике, фармакодинамике и/или токсичности воспроизведенного лекарственного препарата. При непредставлении таких доказательств данное вещество рассматривается в качестве нового активного вещества (новая активная субстанция).</w:t>
      </w:r>
    </w:p>
    <w:p>
      <w:pPr>
        <w:spacing w:after="120"/>
        <w:jc w:val="both"/>
      </w:pPr>
      <w:r>
        <w:rPr>
          <w:rFonts w:ascii="Arial" w:cs="Arial" w:eastAsia="Arial" w:hAnsi="Arial"/>
          <w:sz w:val="24"/>
          <w:szCs w:val="24"/>
        </w:rPr>
        <w:t xml:space="preserve">12. При регистрации лекарственного препарата с хорошо изученным медицинским применением предоставляются:</w:t>
      </w:r>
    </w:p>
    <w:p>
      <w:pPr>
        <w:spacing w:after="120"/>
        <w:jc w:val="both"/>
      </w:pPr>
      <w:r>
        <w:rPr>
          <w:rFonts w:ascii="Arial" w:cs="Arial" w:eastAsia="Arial" w:hAnsi="Arial"/>
          <w:sz w:val="24"/>
          <w:szCs w:val="24"/>
        </w:rPr>
        <w:t xml:space="preserve">- части I и II;</w:t>
      </w:r>
    </w:p>
    <w:p>
      <w:pPr>
        <w:spacing w:after="120"/>
        <w:jc w:val="both"/>
      </w:pPr>
      <w:r>
        <w:rPr>
          <w:rFonts w:ascii="Arial" w:cs="Arial" w:eastAsia="Arial" w:hAnsi="Arial"/>
          <w:sz w:val="24"/>
          <w:szCs w:val="24"/>
        </w:rPr>
        <w:t xml:space="preserve">- подробная научная библиография, с указанием доклинических и клинических характеристик.</w:t>
      </w:r>
    </w:p>
    <w:p>
      <w:pPr>
        <w:spacing w:after="120"/>
        <w:jc w:val="both"/>
      </w:pPr>
      <w:r>
        <w:rPr>
          <w:rFonts w:ascii="Arial" w:cs="Arial" w:eastAsia="Arial" w:hAnsi="Arial"/>
          <w:sz w:val="24"/>
          <w:szCs w:val="24"/>
        </w:rPr>
        <w:t xml:space="preserve">13. Подтверждение эффективности и приемлемого уровня безопасности лекарственных препаратов, к которым относятся лекарственные препараты из сырья природного происхождения (деготь березовый, змеиный яд, продукты пчеловодства, медицинские пиявки, желчь, минералы), активные вещества, хорошо изученные в медицинском применении, витамины и витаминно-минеральные комплексы, лекарственные препараты, фармакологическая активность которых определяется комплексом биологически активных веществ природного происхождения, растворы антисептиков (перекись водорода, йод, бриллиантовый зеленый), вода для инъекций, адсорбенты (уголь активированный), карминативные лекарственные препараты, а также лекарственные препараты из группы раздражающих и обволакивающих лекарственных препаратов, осуществляется на основе данных, приводимых в пунктах 15, 16 настоящего приложения.</w:t>
      </w:r>
    </w:p>
    <w:p>
      <w:pPr>
        <w:spacing w:after="120"/>
        <w:jc w:val="both"/>
      </w:pPr>
      <w:r>
        <w:rPr>
          <w:rFonts w:ascii="Arial" w:cs="Arial" w:eastAsia="Arial" w:hAnsi="Arial"/>
          <w:sz w:val="24"/>
          <w:szCs w:val="24"/>
        </w:rPr>
        <w:t xml:space="preserve">14. Для подтверждения хорошо изученного медицинского применения должны быть представлены следующие данные:</w:t>
      </w:r>
    </w:p>
    <w:p>
      <w:pPr>
        <w:spacing w:after="120"/>
        <w:jc w:val="both"/>
      </w:pPr>
      <w:r>
        <w:rPr>
          <w:rFonts w:ascii="Arial" w:cs="Arial" w:eastAsia="Arial" w:hAnsi="Arial"/>
          <w:sz w:val="24"/>
          <w:szCs w:val="24"/>
        </w:rPr>
        <w:t xml:space="preserve">- срок, в течение которого активное вещество используется в медицинской практике;</w:t>
      </w:r>
    </w:p>
    <w:p>
      <w:pPr>
        <w:spacing w:after="120"/>
        <w:jc w:val="both"/>
      </w:pPr>
      <w:r>
        <w:rPr>
          <w:rFonts w:ascii="Arial" w:cs="Arial" w:eastAsia="Arial" w:hAnsi="Arial"/>
          <w:sz w:val="24"/>
          <w:szCs w:val="24"/>
        </w:rPr>
        <w:t xml:space="preserve">- количественные аспекты использования активного вещества;</w:t>
      </w:r>
    </w:p>
    <w:p>
      <w:pPr>
        <w:spacing w:after="120"/>
        <w:jc w:val="both"/>
      </w:pPr>
      <w:r>
        <w:rPr>
          <w:rFonts w:ascii="Arial" w:cs="Arial" w:eastAsia="Arial" w:hAnsi="Arial"/>
          <w:sz w:val="24"/>
          <w:szCs w:val="24"/>
        </w:rPr>
        <w:t xml:space="preserve">- частота научных публикаций и актуальность использования активного вещества в течение 5 лет до даты подачи заявления на регистрацию данного лекарственного препарата (со ссылкой на публикации в научных источниках);</w:t>
      </w:r>
    </w:p>
    <w:p>
      <w:pPr>
        <w:spacing w:after="120"/>
        <w:jc w:val="both"/>
      </w:pPr>
      <w:r>
        <w:rPr>
          <w:rFonts w:ascii="Arial" w:cs="Arial" w:eastAsia="Arial" w:hAnsi="Arial"/>
          <w:sz w:val="24"/>
          <w:szCs w:val="24"/>
        </w:rPr>
        <w:t xml:space="preserve">- согласованность научных оценок.</w:t>
      </w:r>
    </w:p>
    <w:p>
      <w:pPr>
        <w:spacing w:after="120"/>
        <w:jc w:val="both"/>
      </w:pPr>
      <w:r>
        <w:rPr>
          <w:rFonts w:ascii="Arial" w:cs="Arial" w:eastAsia="Arial" w:hAnsi="Arial"/>
          <w:sz w:val="24"/>
          <w:szCs w:val="24"/>
        </w:rPr>
        <w:t xml:space="preserve">15. В целях определения хорошо изученного медицинского применения различных активных веществ может осуществляться оценка за различные периоды времени. Период времени, необходимый для определения хорошо изученного медицинского применения активного вещества, должен составлять не менее 10 лет с момента его документированного применения.</w:t>
      </w:r>
    </w:p>
    <w:p>
      <w:pPr>
        <w:spacing w:after="120"/>
        <w:jc w:val="both"/>
      </w:pPr>
      <w:r>
        <w:rPr>
          <w:rFonts w:ascii="Arial" w:cs="Arial" w:eastAsia="Arial" w:hAnsi="Arial"/>
          <w:sz w:val="24"/>
          <w:szCs w:val="24"/>
        </w:rPr>
        <w:t xml:space="preserve">16. Биологические лекарственные препараты и лекарственные препараты, для которых требуется проведение исследований биоэквивалентности и/или клинических исследований, не относятся к категории лекарственных препаратов с хорошо изученным применением.</w:t>
      </w:r>
    </w:p>
    <w:p>
      <w:pPr>
        <w:spacing w:after="120"/>
        <w:jc w:val="both"/>
      </w:pPr>
      <w:r>
        <w:rPr>
          <w:rFonts w:ascii="Arial" w:cs="Arial" w:eastAsia="Arial" w:hAnsi="Arial"/>
          <w:sz w:val="24"/>
          <w:szCs w:val="24"/>
        </w:rPr>
        <w:t xml:space="preserve">17. При регистрации гомеопатического лекарственного препарата предоставляются:</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подробный состав с указанием вспомогательных веществ;</w:t>
      </w:r>
    </w:p>
    <w:p>
      <w:pPr>
        <w:spacing w:after="120"/>
        <w:jc w:val="both"/>
      </w:pPr>
      <w:r>
        <w:rPr>
          <w:rFonts w:ascii="Arial" w:cs="Arial" w:eastAsia="Arial" w:hAnsi="Arial"/>
          <w:sz w:val="24"/>
          <w:szCs w:val="24"/>
        </w:rPr>
        <w:t xml:space="preserve">- обоснование состава гомеопатического средства;</w:t>
      </w:r>
    </w:p>
    <w:p>
      <w:pPr>
        <w:spacing w:after="120"/>
        <w:jc w:val="both"/>
      </w:pPr>
      <w:r>
        <w:rPr>
          <w:rFonts w:ascii="Arial" w:cs="Arial" w:eastAsia="Arial" w:hAnsi="Arial"/>
          <w:sz w:val="24"/>
          <w:szCs w:val="24"/>
        </w:rPr>
        <w:t xml:space="preserve">- характеристика каждого компонента, входящего в состав гомеопатического средства;</w:t>
      </w:r>
    </w:p>
    <w:p>
      <w:pPr>
        <w:spacing w:after="120"/>
        <w:jc w:val="both"/>
      </w:pPr>
      <w:r>
        <w:rPr>
          <w:rFonts w:ascii="Arial" w:cs="Arial" w:eastAsia="Arial" w:hAnsi="Arial"/>
          <w:sz w:val="24"/>
          <w:szCs w:val="24"/>
        </w:rPr>
        <w:t xml:space="preserve">- сводная справка (характеристика) гомеопатического средства;</w:t>
      </w:r>
    </w:p>
    <w:p>
      <w:pPr>
        <w:spacing w:after="120"/>
        <w:jc w:val="both"/>
      </w:pPr>
      <w:r>
        <w:rPr>
          <w:rFonts w:ascii="Arial" w:cs="Arial" w:eastAsia="Arial" w:hAnsi="Arial"/>
          <w:sz w:val="24"/>
          <w:szCs w:val="24"/>
        </w:rPr>
        <w:t xml:space="preserve">- нормативный документ по качеству или стандарт фирмы производителя, используемый при контроле качества гомеопатического средства;</w:t>
      </w:r>
    </w:p>
    <w:p>
      <w:pPr>
        <w:spacing w:after="120"/>
        <w:jc w:val="both"/>
      </w:pPr>
      <w:r>
        <w:rPr>
          <w:rFonts w:ascii="Arial" w:cs="Arial" w:eastAsia="Arial" w:hAnsi="Arial"/>
          <w:sz w:val="24"/>
          <w:szCs w:val="24"/>
        </w:rPr>
        <w:t xml:space="preserve">- проект инструкции по применению, разработанный производителем, с указанием показаний и противопоказаний к применению;</w:t>
      </w:r>
    </w:p>
    <w:p>
      <w:pPr>
        <w:spacing w:after="120"/>
        <w:jc w:val="both"/>
      </w:pPr>
      <w:r>
        <w:rPr>
          <w:rFonts w:ascii="Arial" w:cs="Arial" w:eastAsia="Arial" w:hAnsi="Arial"/>
          <w:sz w:val="24"/>
          <w:szCs w:val="24"/>
        </w:rPr>
        <w:t xml:space="preserve">- макет упаковки;</w:t>
      </w:r>
    </w:p>
    <w:p>
      <w:pPr>
        <w:spacing w:after="120"/>
        <w:jc w:val="both"/>
      </w:pPr>
      <w:r>
        <w:rPr>
          <w:rFonts w:ascii="Arial" w:cs="Arial" w:eastAsia="Arial" w:hAnsi="Arial"/>
          <w:sz w:val="24"/>
          <w:szCs w:val="24"/>
        </w:rPr>
        <w:t xml:space="preserve">- данные, подтверждающие безопасность гомеопатического средства;</w:t>
      </w:r>
    </w:p>
    <w:p>
      <w:pPr>
        <w:spacing w:after="120"/>
        <w:jc w:val="both"/>
      </w:pPr>
      <w:r>
        <w:rPr>
          <w:rFonts w:ascii="Arial" w:cs="Arial" w:eastAsia="Arial" w:hAnsi="Arial"/>
          <w:sz w:val="24"/>
          <w:szCs w:val="24"/>
        </w:rPr>
        <w:t xml:space="preserve">- данные, подтверждающие эффективность гомеопатического средства по заявленным показаниям;</w:t>
      </w:r>
    </w:p>
    <w:p>
      <w:pPr>
        <w:spacing w:after="120"/>
        <w:jc w:val="both"/>
      </w:pPr>
      <w:r>
        <w:rPr>
          <w:rFonts w:ascii="Arial" w:cs="Arial" w:eastAsia="Arial" w:hAnsi="Arial"/>
          <w:sz w:val="24"/>
          <w:szCs w:val="24"/>
        </w:rPr>
        <w:t xml:space="preserve">- данные о побочных эффектах;</w:t>
      </w:r>
    </w:p>
    <w:p>
      <w:pPr>
        <w:spacing w:after="120"/>
        <w:jc w:val="both"/>
      </w:pPr>
      <w:r>
        <w:rPr>
          <w:rFonts w:ascii="Arial" w:cs="Arial" w:eastAsia="Arial" w:hAnsi="Arial"/>
          <w:sz w:val="24"/>
          <w:szCs w:val="24"/>
        </w:rPr>
        <w:t xml:space="preserve">- технологическая инструкция;</w:t>
      </w:r>
    </w:p>
    <w:p>
      <w:pPr>
        <w:spacing w:after="120"/>
        <w:jc w:val="both"/>
      </w:pPr>
      <w:r>
        <w:rPr>
          <w:rFonts w:ascii="Arial" w:cs="Arial" w:eastAsia="Arial" w:hAnsi="Arial"/>
          <w:sz w:val="24"/>
          <w:szCs w:val="24"/>
        </w:rPr>
        <w:t xml:space="preserve">- сертификаты качества (протоколы испытаний) субстанций.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w:t>
      </w:r>
      <w:hyperlink w:history="1" r:id="rIdesb5fgpo0qfbdoq6ebqbf">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государственной регистрации 
 лекарственных средств 
 для медицинского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Нормативный документ по качеству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 нормативной документации по контролю качества - нормативный документ по качеству состоит из 8 разделов.</w:t>
      </w:r>
    </w:p>
    <w:p>
      <w:pPr>
        <w:spacing w:after="120"/>
        <w:jc w:val="both"/>
      </w:pPr>
      <w:r>
        <w:rPr>
          <w:rFonts w:ascii="Arial" w:cs="Arial" w:eastAsia="Arial" w:hAnsi="Arial"/>
          <w:sz w:val="24"/>
          <w:szCs w:val="24"/>
        </w:rPr>
        <w:t xml:space="preserve">2. Первый раздел нормативного документа по качеству (далее - НД) содержит описание титульного листа НД, в котором указываются:</w:t>
      </w:r>
    </w:p>
    <w:p>
      <w:pPr>
        <w:spacing w:after="120"/>
        <w:jc w:val="both"/>
      </w:pPr>
      <w:r>
        <w:rPr>
          <w:rFonts w:ascii="Arial" w:cs="Arial" w:eastAsia="Arial" w:hAnsi="Arial"/>
          <w:sz w:val="24"/>
          <w:szCs w:val="24"/>
        </w:rPr>
        <w:t xml:space="preserve">- наименование лекарственного препарата (торговое наименование и международное непатентованное наименование, при его отсутствии - общепринятое (группировочное) наименование, при отсутствии последнего - химическое наименование);</w:t>
      </w:r>
    </w:p>
    <w:p>
      <w:pPr>
        <w:spacing w:after="120"/>
        <w:jc w:val="both"/>
      </w:pPr>
      <w:r>
        <w:rPr>
          <w:rFonts w:ascii="Arial" w:cs="Arial" w:eastAsia="Arial" w:hAnsi="Arial"/>
          <w:sz w:val="24"/>
          <w:szCs w:val="24"/>
        </w:rPr>
        <w:t xml:space="preserve">- лекарственная форма;</w:t>
      </w:r>
    </w:p>
    <w:p>
      <w:pPr>
        <w:spacing w:after="120"/>
        <w:jc w:val="both"/>
      </w:pPr>
      <w:r>
        <w:rPr>
          <w:rFonts w:ascii="Arial" w:cs="Arial" w:eastAsia="Arial" w:hAnsi="Arial"/>
          <w:sz w:val="24"/>
          <w:szCs w:val="24"/>
        </w:rPr>
        <w:t xml:space="preserve">- дозировка(и);</w:t>
      </w:r>
    </w:p>
    <w:p>
      <w:pPr>
        <w:spacing w:after="120"/>
        <w:jc w:val="both"/>
      </w:pPr>
      <w:r>
        <w:rPr>
          <w:rFonts w:ascii="Arial" w:cs="Arial" w:eastAsia="Arial" w:hAnsi="Arial"/>
          <w:sz w:val="24"/>
          <w:szCs w:val="24"/>
        </w:rPr>
        <w:t xml:space="preserve">- наименование держателя регистрационного удостоверения лекарственного средства и указание страны;</w:t>
      </w:r>
    </w:p>
    <w:p>
      <w:pPr>
        <w:spacing w:after="120"/>
        <w:jc w:val="both"/>
      </w:pPr>
      <w:r>
        <w:rPr>
          <w:rFonts w:ascii="Arial" w:cs="Arial" w:eastAsia="Arial" w:hAnsi="Arial"/>
          <w:sz w:val="24"/>
          <w:szCs w:val="24"/>
        </w:rPr>
        <w:t xml:space="preserve">- поле для указания номера НД (указывается в виде номера регистрационного удостоверения и даты регистрации в формате ДД-ММ-ГГ);</w:t>
      </w:r>
    </w:p>
    <w:p>
      <w:pPr>
        <w:spacing w:after="120"/>
        <w:jc w:val="both"/>
      </w:pPr>
      <w:r>
        <w:rPr>
          <w:rFonts w:ascii="Arial" w:cs="Arial" w:eastAsia="Arial" w:hAnsi="Arial"/>
          <w:sz w:val="24"/>
          <w:szCs w:val="24"/>
        </w:rPr>
        <w:t xml:space="preserve">- гриф согласования.</w:t>
      </w:r>
    </w:p>
    <w:p>
      <w:pPr>
        <w:spacing w:after="120"/>
        <w:jc w:val="both"/>
      </w:pPr>
      <w:r>
        <w:rPr>
          <w:rFonts w:ascii="Arial" w:cs="Arial" w:eastAsia="Arial" w:hAnsi="Arial"/>
          <w:sz w:val="24"/>
          <w:szCs w:val="24"/>
        </w:rPr>
        <w:t xml:space="preserve">3. Во втором разделе НД описывается состав лекарственного препарата, содержание которого должно соответствовать требованиям пункта 3.2.Р.1 модуля 3 приложения 1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где в регистрационном досье (без указания функционального назначения) в разделе НД указывается качественный и количественный состав фармацевтических субстанций и вспомогательных веществ со ссылками на фармакопеи или на нормативные документы, регламентирующие их качество.</w:t>
      </w:r>
    </w:p>
    <w:p>
      <w:pPr>
        <w:spacing w:after="120"/>
        <w:jc w:val="both"/>
      </w:pPr>
      <w:r>
        <w:rPr>
          <w:rFonts w:ascii="Arial" w:cs="Arial" w:eastAsia="Arial" w:hAnsi="Arial"/>
          <w:sz w:val="24"/>
          <w:szCs w:val="24"/>
        </w:rPr>
        <w:t xml:space="preserve">4. Третий раздел НД содержит описание спецификаций лекарственного препарата, с указанием показателей качества, норм качества (допустимые пределы) и ссылок на методы испытаний.</w:t>
      </w:r>
    </w:p>
    <w:p>
      <w:pPr>
        <w:spacing w:after="120"/>
        <w:jc w:val="both"/>
      </w:pPr>
      <w:r>
        <w:rPr>
          <w:rFonts w:ascii="Arial" w:cs="Arial" w:eastAsia="Arial" w:hAnsi="Arial"/>
          <w:sz w:val="24"/>
          <w:szCs w:val="24"/>
        </w:rPr>
        <w:t xml:space="preserve">5. Четвертый раздел НД должен содержать описание процедур выполнения методов и методик испытаний лекарственного препарата по всем показателям качества спецификации со ссылками на фармакопеи первого, второго уровней или статьи (монографии) других фармакопей или стандарты предприятий (производителей/разработчиков).</w:t>
      </w:r>
    </w:p>
    <w:p>
      <w:pPr>
        <w:spacing w:after="120"/>
        <w:jc w:val="both"/>
      </w:pPr>
      <w:r>
        <w:rPr>
          <w:rFonts w:ascii="Arial" w:cs="Arial" w:eastAsia="Arial" w:hAnsi="Arial"/>
          <w:sz w:val="24"/>
          <w:szCs w:val="24"/>
        </w:rPr>
        <w:t xml:space="preserve">Показатели качества лекарственного препарата устанавливаются на лекарственные формы в соответствии с требованиями общих фармакопейных статей (монографий) фармакопей первого, второго уровней Концепции гармонизации фармакопей государств-членов Евразийского экономического союза, утвержденной Решением Коллегии Евразийской экономической комиссии от 22 сентября 2015 года № 119, а также с учетом особенностей конкретной лекарственной формы лекарственного препарата в зависимости от природы фармацевтической субстанции. В случае если испытание по отдельным показателям проводится выборочно или с установленной периодичностью в спецификации устанавливают выборочность и периодичность испытаний.</w:t>
      </w:r>
    </w:p>
    <w:p>
      <w:pPr>
        <w:spacing w:after="120"/>
        <w:jc w:val="both"/>
      </w:pPr>
      <w:r>
        <w:rPr>
          <w:rFonts w:ascii="Arial" w:cs="Arial" w:eastAsia="Arial" w:hAnsi="Arial"/>
          <w:sz w:val="24"/>
          <w:szCs w:val="24"/>
        </w:rPr>
        <w:t xml:space="preserve">6. В пятом разделе НД описывается упаковка лекарственного препарата:</w:t>
      </w:r>
    </w:p>
    <w:p>
      <w:pPr>
        <w:spacing w:after="120"/>
        <w:jc w:val="both"/>
      </w:pPr>
      <w:r>
        <w:rPr>
          <w:rFonts w:ascii="Arial" w:cs="Arial" w:eastAsia="Arial" w:hAnsi="Arial"/>
          <w:sz w:val="24"/>
          <w:szCs w:val="24"/>
        </w:rPr>
        <w:t xml:space="preserve">- первичная упаковка (ампулы, флаконы, банки, пакеты);</w:t>
      </w:r>
    </w:p>
    <w:p>
      <w:pPr>
        <w:spacing w:after="120"/>
        <w:jc w:val="both"/>
      </w:pPr>
      <w:r>
        <w:rPr>
          <w:rFonts w:ascii="Arial" w:cs="Arial" w:eastAsia="Arial" w:hAnsi="Arial"/>
          <w:sz w:val="24"/>
          <w:szCs w:val="24"/>
        </w:rPr>
        <w:t xml:space="preserve">- количество единиц продукции в первичной упаковке (количество таблеток в контурной ячейковой или безячейковой упаковки);</w:t>
      </w:r>
    </w:p>
    <w:p>
      <w:pPr>
        <w:spacing w:after="120"/>
        <w:jc w:val="both"/>
      </w:pPr>
      <w:r>
        <w:rPr>
          <w:rFonts w:ascii="Arial" w:cs="Arial" w:eastAsia="Arial" w:hAnsi="Arial"/>
          <w:sz w:val="24"/>
          <w:szCs w:val="24"/>
        </w:rPr>
        <w:t xml:space="preserve">- промежуточная, вторичная (потребительская) упаковка;</w:t>
      </w:r>
    </w:p>
    <w:p>
      <w:pPr>
        <w:spacing w:after="120"/>
        <w:jc w:val="both"/>
      </w:pPr>
      <w:r>
        <w:rPr>
          <w:rFonts w:ascii="Arial" w:cs="Arial" w:eastAsia="Arial" w:hAnsi="Arial"/>
          <w:sz w:val="24"/>
          <w:szCs w:val="24"/>
        </w:rPr>
        <w:t xml:space="preserve">- количество первичных упаковок во вторичной упаковке с указанием количества контурных ячейковых упаковок в ней;</w:t>
      </w:r>
    </w:p>
    <w:p>
      <w:pPr>
        <w:spacing w:after="120"/>
        <w:jc w:val="both"/>
      </w:pPr>
      <w:r>
        <w:rPr>
          <w:rFonts w:ascii="Arial" w:cs="Arial" w:eastAsia="Arial" w:hAnsi="Arial"/>
          <w:sz w:val="24"/>
          <w:szCs w:val="24"/>
        </w:rPr>
        <w:t xml:space="preserve">- наличие поглотителя влаги;</w:t>
      </w:r>
    </w:p>
    <w:p>
      <w:pPr>
        <w:spacing w:after="120"/>
        <w:jc w:val="both"/>
      </w:pPr>
      <w:r>
        <w:rPr>
          <w:rFonts w:ascii="Arial" w:cs="Arial" w:eastAsia="Arial" w:hAnsi="Arial"/>
          <w:sz w:val="24"/>
          <w:szCs w:val="24"/>
        </w:rPr>
        <w:t xml:space="preserve">- инструкция по медицинскому применению лекарственного препарата (листок-вкладыш);</w:t>
      </w:r>
    </w:p>
    <w:p>
      <w:pPr>
        <w:spacing w:after="120"/>
        <w:jc w:val="both"/>
      </w:pPr>
      <w:r>
        <w:rPr>
          <w:rFonts w:ascii="Arial" w:cs="Arial" w:eastAsia="Arial" w:hAnsi="Arial"/>
          <w:sz w:val="24"/>
          <w:szCs w:val="24"/>
        </w:rPr>
        <w:t xml:space="preserve">- комплектность (игла, капельница, зажим, скоба).</w:t>
      </w:r>
    </w:p>
    <w:p>
      <w:pPr>
        <w:spacing w:after="120"/>
        <w:jc w:val="both"/>
      </w:pPr>
      <w:r>
        <w:rPr>
          <w:rFonts w:ascii="Arial" w:cs="Arial" w:eastAsia="Arial" w:hAnsi="Arial"/>
          <w:sz w:val="24"/>
          <w:szCs w:val="24"/>
        </w:rPr>
        <w:t xml:space="preserve">7. Шестой раздел НД должен содержать описание маркировки, выполненной в соответствии с Требованиями к маркировке лекарственных средств, утвержденными Решением Совета Евразийской экономической комиссии от 3 ноября 2016 года № 76.</w:t>
      </w:r>
    </w:p>
    <w:p>
      <w:pPr>
        <w:spacing w:after="120"/>
        <w:jc w:val="both"/>
      </w:pPr>
      <w:r>
        <w:rPr>
          <w:rFonts w:ascii="Arial" w:cs="Arial" w:eastAsia="Arial" w:hAnsi="Arial"/>
          <w:sz w:val="24"/>
          <w:szCs w:val="24"/>
        </w:rPr>
        <w:t xml:space="preserve">8. В седьмом разделе НД описываются условия хранения лекарственного препарата.</w:t>
      </w:r>
    </w:p>
    <w:p>
      <w:pPr>
        <w:spacing w:after="120"/>
        <w:jc w:val="both"/>
      </w:pPr>
      <w:r>
        <w:rPr>
          <w:rFonts w:ascii="Arial" w:cs="Arial" w:eastAsia="Arial" w:hAnsi="Arial"/>
          <w:sz w:val="24"/>
          <w:szCs w:val="24"/>
        </w:rPr>
        <w:t xml:space="preserve">9. Восьмой раздел НД должен содержать указание о сроке годности (хранения) лекарственного препарата.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w:t>
      </w:r>
      <w:hyperlink w:history="1" r:id="rIdbaq7oa69ue9pk0fpuxre7">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государственной регистрации 
 лекарственных средств 
 для медицинского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по медицинскому применению 
 лекарственного препарата (листок-вкладыш)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медицинскому применению лекарственного препарата (листок-вкладыш) содержит:</w:t>
      </w:r>
    </w:p>
    <w:p>
      <w:pPr>
        <w:spacing w:after="120"/>
        <w:jc w:val="both"/>
      </w:pPr>
      <w:r>
        <w:rPr>
          <w:rFonts w:ascii="Arial" w:cs="Arial" w:eastAsia="Arial" w:hAnsi="Arial"/>
          <w:sz w:val="24"/>
          <w:szCs w:val="24"/>
        </w:rPr>
        <w:t xml:space="preserve">1) наименование документа - Инструкция по медицинскому применению лекарственного препарата (листок-вкладыш) (далее - Инструкция);</w:t>
      </w:r>
    </w:p>
    <w:p>
      <w:pPr>
        <w:spacing w:after="120"/>
        <w:jc w:val="both"/>
      </w:pPr>
      <w:r>
        <w:rPr>
          <w:rFonts w:ascii="Arial" w:cs="Arial" w:eastAsia="Arial" w:hAnsi="Arial"/>
          <w:sz w:val="24"/>
          <w:szCs w:val="24"/>
        </w:rPr>
        <w:t xml:space="preserve">2) торговое наименование лекарственного препарата, с указанием дозировок в весовых граммах;</w:t>
      </w:r>
    </w:p>
    <w:p>
      <w:pPr>
        <w:spacing w:after="120"/>
        <w:jc w:val="both"/>
      </w:pPr>
      <w:r>
        <w:rPr>
          <w:rFonts w:ascii="Arial" w:cs="Arial" w:eastAsia="Arial" w:hAnsi="Arial"/>
          <w:sz w:val="24"/>
          <w:szCs w:val="24"/>
        </w:rPr>
        <w:t xml:space="preserve">3) международное непатентованное наименование лекарственного препарата или при отсутствии такового - общепринятое (группировочное) наименование;</w:t>
      </w:r>
    </w:p>
    <w:p>
      <w:pPr>
        <w:spacing w:after="120"/>
        <w:jc w:val="both"/>
      </w:pPr>
      <w:r>
        <w:rPr>
          <w:rFonts w:ascii="Arial" w:cs="Arial" w:eastAsia="Arial" w:hAnsi="Arial"/>
          <w:sz w:val="24"/>
          <w:szCs w:val="24"/>
        </w:rPr>
        <w:t xml:space="preserve">4) наименование лекарственной формы с описанием внешнего вида и указанием особенностей применения для каждой возрастной категории населения;</w:t>
      </w:r>
    </w:p>
    <w:p>
      <w:pPr>
        <w:spacing w:after="120"/>
        <w:jc w:val="both"/>
      </w:pPr>
      <w:r>
        <w:rPr>
          <w:rFonts w:ascii="Arial" w:cs="Arial" w:eastAsia="Arial" w:hAnsi="Arial"/>
          <w:sz w:val="24"/>
          <w:szCs w:val="24"/>
        </w:rPr>
        <w:t xml:space="preserve">5) состав лекарственного препарата с указанием использования активных веществ в качественном и количественном значении, а также вспомогательных веществ - только в качественном выражении (для каждой выпускаемой лекарственной формы);</w:t>
      </w:r>
    </w:p>
    <w:p>
      <w:pPr>
        <w:spacing w:after="120"/>
        <w:jc w:val="both"/>
      </w:pPr>
      <w:r>
        <w:rPr>
          <w:rFonts w:ascii="Arial" w:cs="Arial" w:eastAsia="Arial" w:hAnsi="Arial"/>
          <w:sz w:val="24"/>
          <w:szCs w:val="24"/>
        </w:rPr>
        <w:t xml:space="preserve">6) указание на фармакотерапевтическую группу и/или описание активности с кодом анатомо-терапевтическо-химической классификации;</w:t>
      </w:r>
    </w:p>
    <w:p>
      <w:pPr>
        <w:spacing w:after="120"/>
        <w:jc w:val="both"/>
      </w:pPr>
      <w:r>
        <w:rPr>
          <w:rFonts w:ascii="Arial" w:cs="Arial" w:eastAsia="Arial" w:hAnsi="Arial"/>
          <w:sz w:val="24"/>
          <w:szCs w:val="24"/>
        </w:rPr>
        <w:t xml:space="preserve">7) в сокращенном изложении данные по фармакодинамике: механизм действия, основные фармакологические и иные биологические свойства лекарственного препарата;</w:t>
      </w:r>
    </w:p>
    <w:p>
      <w:pPr>
        <w:spacing w:after="120"/>
        <w:jc w:val="both"/>
      </w:pPr>
      <w:r>
        <w:rPr>
          <w:rFonts w:ascii="Arial" w:cs="Arial" w:eastAsia="Arial" w:hAnsi="Arial"/>
          <w:sz w:val="24"/>
          <w:szCs w:val="24"/>
        </w:rPr>
        <w:t xml:space="preserve">8) в сокращенном изложении данные по фармакокинетике: скорость всасывания, распределения, а также метаболизм и выведение препарата из организма человека для определения дозировок и интервала между приемами лекарственных препаратов;</w:t>
      </w:r>
    </w:p>
    <w:p>
      <w:pPr>
        <w:spacing w:after="120"/>
        <w:jc w:val="both"/>
      </w:pPr>
      <w:r>
        <w:rPr>
          <w:rFonts w:ascii="Arial" w:cs="Arial" w:eastAsia="Arial" w:hAnsi="Arial"/>
          <w:sz w:val="24"/>
          <w:szCs w:val="24"/>
        </w:rPr>
        <w:t xml:space="preserve">9) показания к медицинскому применению лекарственного препарата;</w:t>
      </w:r>
    </w:p>
    <w:p>
      <w:pPr>
        <w:spacing w:after="120"/>
        <w:jc w:val="both"/>
      </w:pPr>
      <w:r>
        <w:rPr>
          <w:rFonts w:ascii="Arial" w:cs="Arial" w:eastAsia="Arial" w:hAnsi="Arial"/>
          <w:sz w:val="24"/>
          <w:szCs w:val="24"/>
        </w:rPr>
        <w:t xml:space="preserve">10) противопоказания к медицинскому применению лекарственного препарата;</w:t>
      </w:r>
    </w:p>
    <w:p>
      <w:pPr>
        <w:spacing w:after="120"/>
        <w:jc w:val="both"/>
      </w:pPr>
      <w:r>
        <w:rPr>
          <w:rFonts w:ascii="Arial" w:cs="Arial" w:eastAsia="Arial" w:hAnsi="Arial"/>
          <w:sz w:val="24"/>
          <w:szCs w:val="24"/>
        </w:rPr>
        <w:t xml:space="preserve">11) режим дозирования, метод и, при необходимости, путь введения, частота применения с указанием, при необходимости, времени когда лекарственный препарат может или должен применяться, а также, в соответствующих случаях, в зависимости от свойств лекарственного препарата, в какой половине дня, длительность лечения, если ее следует ограничить;</w:t>
      </w:r>
    </w:p>
    <w:p>
      <w:pPr>
        <w:spacing w:after="120"/>
        <w:jc w:val="both"/>
      </w:pPr>
      <w:r>
        <w:rPr>
          <w:rFonts w:ascii="Arial" w:cs="Arial" w:eastAsia="Arial" w:hAnsi="Arial"/>
          <w:sz w:val="24"/>
          <w:szCs w:val="24"/>
        </w:rPr>
        <w:t xml:space="preserve">12) описание нежелательных ожидаемых лекарственных реакций, которые могут наблюдаться при обычном применении лекарственного препарата, и меры, которые должны быть предприняты с содержанием просьбы к потребителю обращаться к медицинскому работнику, фармацевтическому работнику или напрямую в уполномоченный орган с указанием различных путей такого сообщения (электронное сообщение или почтовое отправление);</w:t>
      </w:r>
    </w:p>
    <w:p>
      <w:pPr>
        <w:spacing w:after="120"/>
        <w:jc w:val="both"/>
      </w:pPr>
      <w:r>
        <w:rPr>
          <w:rFonts w:ascii="Arial" w:cs="Arial" w:eastAsia="Arial" w:hAnsi="Arial"/>
          <w:sz w:val="24"/>
          <w:szCs w:val="24"/>
        </w:rPr>
        <w:t xml:space="preserve">13) особые указания при применении лекарственного препарата:</w:t>
      </w:r>
    </w:p>
    <w:p>
      <w:pPr>
        <w:spacing w:after="120"/>
        <w:jc w:val="both"/>
      </w:pPr>
      <w:r>
        <w:rPr>
          <w:rFonts w:ascii="Arial" w:cs="Arial" w:eastAsia="Arial" w:hAnsi="Arial"/>
          <w:sz w:val="24"/>
          <w:szCs w:val="24"/>
        </w:rPr>
        <w:t xml:space="preserve">- рекомендации о необходимости консультации с медицинским работником, фармацевтическим работником или указание мер предосторожности;</w:t>
      </w:r>
    </w:p>
    <w:p>
      <w:pPr>
        <w:spacing w:after="120"/>
        <w:jc w:val="both"/>
      </w:pPr>
      <w:r>
        <w:rPr>
          <w:rFonts w:ascii="Arial" w:cs="Arial" w:eastAsia="Arial" w:hAnsi="Arial"/>
          <w:sz w:val="24"/>
          <w:szCs w:val="24"/>
        </w:rPr>
        <w:t xml:space="preserve">- указания, если необходимо, об особенности действия лекарственного препарата при первом приеме или его отмене, при необходимости, указание на наличие риска симптомов отмены;</w:t>
      </w:r>
    </w:p>
    <w:p>
      <w:pPr>
        <w:spacing w:after="120"/>
        <w:jc w:val="both"/>
      </w:pPr>
      <w:r>
        <w:rPr>
          <w:rFonts w:ascii="Arial" w:cs="Arial" w:eastAsia="Arial" w:hAnsi="Arial"/>
          <w:sz w:val="24"/>
          <w:szCs w:val="24"/>
        </w:rPr>
        <w:t xml:space="preserve">- указания, если необходимо, о действиях пациента при пропуске приема одной или нескольких доз лекарственного препарата;</w:t>
      </w:r>
    </w:p>
    <w:p>
      <w:pPr>
        <w:spacing w:after="120"/>
        <w:jc w:val="both"/>
      </w:pPr>
      <w:r>
        <w:rPr>
          <w:rFonts w:ascii="Arial" w:cs="Arial" w:eastAsia="Arial" w:hAnsi="Arial"/>
          <w:sz w:val="24"/>
          <w:szCs w:val="24"/>
        </w:rPr>
        <w:t xml:space="preserve">- информация об особых указаниях и мерах предосторожности, обусловленных нежелательными реакциями, которые могут возникать при применении лекарственного препарата пациентом, с указанием методов их контроля и мониторинга, мер по предупреждению и лечению;</w:t>
      </w:r>
    </w:p>
    <w:p>
      <w:pPr>
        <w:spacing w:after="120"/>
        <w:jc w:val="both"/>
      </w:pPr>
      <w:r>
        <w:rPr>
          <w:rFonts w:ascii="Arial" w:cs="Arial" w:eastAsia="Arial" w:hAnsi="Arial"/>
          <w:sz w:val="24"/>
          <w:szCs w:val="24"/>
        </w:rPr>
        <w:t xml:space="preserve">- рекомендации по способу применения лекарственного препарата и необходимости обращения за консультацией к медицинскому работнику или фармацевтическому работнику для разъяснения;</w:t>
      </w:r>
    </w:p>
    <w:p>
      <w:pPr>
        <w:spacing w:after="120"/>
        <w:jc w:val="both"/>
      </w:pPr>
      <w:r>
        <w:rPr>
          <w:rFonts w:ascii="Arial" w:cs="Arial" w:eastAsia="Arial" w:hAnsi="Arial"/>
          <w:sz w:val="24"/>
          <w:szCs w:val="24"/>
        </w:rPr>
        <w:t xml:space="preserve">- особые указания, касающиеся взаимодействия лекарственного препарата с другими препаратами, пищей и алкоголем, влияющего на его эффективность и безопасность;</w:t>
      </w:r>
    </w:p>
    <w:p>
      <w:pPr>
        <w:spacing w:after="120"/>
        <w:jc w:val="both"/>
      </w:pPr>
      <w:r>
        <w:rPr>
          <w:rFonts w:ascii="Arial" w:cs="Arial" w:eastAsia="Arial" w:hAnsi="Arial"/>
          <w:sz w:val="24"/>
          <w:szCs w:val="24"/>
        </w:rPr>
        <w:t xml:space="preserve">- информация об особенностях применения лекарственного препарата детьми, лицами пожилого возраста, при нарушениях функции элиминирующих органов (печени и почек);</w:t>
      </w:r>
    </w:p>
    <w:p>
      <w:pPr>
        <w:spacing w:after="120"/>
        <w:jc w:val="both"/>
      </w:pPr>
      <w:r>
        <w:rPr>
          <w:rFonts w:ascii="Arial" w:cs="Arial" w:eastAsia="Arial" w:hAnsi="Arial"/>
          <w:sz w:val="24"/>
          <w:szCs w:val="24"/>
        </w:rPr>
        <w:t xml:space="preserve">- сведения о возможности медицинского применения беременными, женщинами, кормящими грудью, детьми, лицами пожилого возраста, пациентами со специфическими видами патологии;</w:t>
      </w:r>
    </w:p>
    <w:p>
      <w:pPr>
        <w:spacing w:after="120"/>
        <w:jc w:val="both"/>
      </w:pPr>
      <w:r>
        <w:rPr>
          <w:rFonts w:ascii="Arial" w:cs="Arial" w:eastAsia="Arial" w:hAnsi="Arial"/>
          <w:sz w:val="24"/>
          <w:szCs w:val="24"/>
        </w:rPr>
        <w:t xml:space="preserve">- сведения относительно влияния лекарственного препарата на мужскую и женскую фертильность;</w:t>
      </w:r>
    </w:p>
    <w:p>
      <w:pPr>
        <w:spacing w:after="120"/>
        <w:jc w:val="both"/>
      </w:pPr>
      <w:r>
        <w:rPr>
          <w:rFonts w:ascii="Arial" w:cs="Arial" w:eastAsia="Arial" w:hAnsi="Arial"/>
          <w:sz w:val="24"/>
          <w:szCs w:val="24"/>
        </w:rPr>
        <w:t xml:space="preserve">- сведения о возможном влиянии лекарственного препарата на способность управлять транспортными средствами или механизмами, при необходимости;</w:t>
      </w:r>
    </w:p>
    <w:p>
      <w:pPr>
        <w:spacing w:after="120"/>
        <w:jc w:val="both"/>
      </w:pPr>
      <w:r>
        <w:rPr>
          <w:rFonts w:ascii="Arial" w:cs="Arial" w:eastAsia="Arial" w:hAnsi="Arial"/>
          <w:sz w:val="24"/>
          <w:szCs w:val="24"/>
        </w:rPr>
        <w:t xml:space="preserve">14) симптомы передозировки, меры помощи при передозировке;</w:t>
      </w:r>
    </w:p>
    <w:p>
      <w:pPr>
        <w:spacing w:after="120"/>
        <w:jc w:val="both"/>
      </w:pPr>
      <w:r>
        <w:rPr>
          <w:rFonts w:ascii="Arial" w:cs="Arial" w:eastAsia="Arial" w:hAnsi="Arial"/>
          <w:sz w:val="24"/>
          <w:szCs w:val="24"/>
        </w:rPr>
        <w:t xml:space="preserve">15) описание взаимодействия с другими лекарственными препаратами и другие виды взаимодействия (например, с алкоголем, табаком, пищей), способные повлиять на действие лекарственного препарата;</w:t>
      </w:r>
    </w:p>
    <w:p>
      <w:pPr>
        <w:spacing w:after="120"/>
        <w:jc w:val="both"/>
      </w:pPr>
      <w:r>
        <w:rPr>
          <w:rFonts w:ascii="Arial" w:cs="Arial" w:eastAsia="Arial" w:hAnsi="Arial"/>
          <w:sz w:val="24"/>
          <w:szCs w:val="24"/>
        </w:rPr>
        <w:t xml:space="preserve">16) указание срока годности, а также указание, что лекарственный препарат по истечении срока годности не должен применяться;</w:t>
      </w:r>
    </w:p>
    <w:p>
      <w:pPr>
        <w:spacing w:after="120"/>
        <w:jc w:val="both"/>
      </w:pPr>
      <w:r>
        <w:rPr>
          <w:rFonts w:ascii="Arial" w:cs="Arial" w:eastAsia="Arial" w:hAnsi="Arial"/>
          <w:sz w:val="24"/>
          <w:szCs w:val="24"/>
        </w:rPr>
        <w:t xml:space="preserve">17) описание условий хранения (при необходимости, особые условия хранения, предупреждение о визуальных признаках непригодности лекарственного препарата (если таковые имеются);</w:t>
      </w:r>
    </w:p>
    <w:p>
      <w:pPr>
        <w:spacing w:after="120"/>
        <w:jc w:val="both"/>
      </w:pPr>
      <w:r>
        <w:rPr>
          <w:rFonts w:ascii="Arial" w:cs="Arial" w:eastAsia="Arial" w:hAnsi="Arial"/>
          <w:sz w:val="24"/>
          <w:szCs w:val="24"/>
        </w:rPr>
        <w:t xml:space="preserve">18) условия отпуска лекарственного препарата из аптек;</w:t>
      </w:r>
    </w:p>
    <w:p>
      <w:pPr>
        <w:spacing w:after="120"/>
        <w:jc w:val="both"/>
      </w:pPr>
      <w:r>
        <w:rPr>
          <w:rFonts w:ascii="Arial" w:cs="Arial" w:eastAsia="Arial" w:hAnsi="Arial"/>
          <w:sz w:val="24"/>
          <w:szCs w:val="24"/>
        </w:rPr>
        <w:t xml:space="preserve">19) сведения об организации-производителе лекарственного препарата с указанием его наименования, юридического и фактического адресов, а в случаях если лекарственный препарат зарегистрирован под различными наименованиями в других государствах, указываются все наименования;</w:t>
      </w:r>
    </w:p>
    <w:p>
      <w:pPr>
        <w:spacing w:after="120"/>
        <w:jc w:val="both"/>
      </w:pPr>
      <w:r>
        <w:rPr>
          <w:rFonts w:ascii="Arial" w:cs="Arial" w:eastAsia="Arial" w:hAnsi="Arial"/>
          <w:sz w:val="24"/>
          <w:szCs w:val="24"/>
        </w:rPr>
        <w:t xml:space="preserve">20) сведения о представителе держателя регистрационного удостоверения, с указанием наименования организации, юридического и фактического адресов, контактного телефона, факса, адреса электронной почты;</w:t>
      </w:r>
    </w:p>
    <w:p>
      <w:pPr>
        <w:spacing w:after="120"/>
        <w:jc w:val="both"/>
      </w:pPr>
      <w:r>
        <w:rPr>
          <w:rFonts w:ascii="Arial" w:cs="Arial" w:eastAsia="Arial" w:hAnsi="Arial"/>
          <w:sz w:val="24"/>
          <w:szCs w:val="24"/>
        </w:rPr>
        <w:t xml:space="preserve">21) дату утверждения или дату последнего пересмотра инструкции.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w:t>
      </w:r>
      <w:hyperlink w:history="1" r:id="rIdswk8a5--in8kaw4uurdum">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государственной регистрации 
 лекарственных средств 
 для медицинского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 документам регистрационного досье, 
 приведенным в модуле 1 "Административная информация"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4"/>
        <w:gridCol w:w="9504"/>
      </w:tblGrid>
      <w:tr>
        <w:tc>
          <w:tcPr>
            <w:tcW w:type="dxa" w:w="6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документов</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Сопроводительное письмо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документация:</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сертификата на лекарственный препарат (заверенная в установленном порядке) согласно формату, рекомендованному ВОЗ, выданного уполномоченным органом страны-производителя (при наличии)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регистрацию в стране-производителе и (или) в стране-держателе регистрационного удостоверения и (или) в странах региона ICH и (или) в странах ЕАЭС на лекарственный препарат (заверенный в установленном порядке)</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характеристика лекарственного препарата, инструкция по медицинскому применению (листок-вкладыш), маркировка: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характеристика лекарственного препарата с переводом на официальный язык</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инструкции по медицинскому применению (листок-вкладыш), составленной в соответствии с приложением 3 настоящего Порядка на государственном и официальном языке</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Макеты первичной (внутренней) и вторичной (потребительской), промежуточной упаковок. Макеты промежуточной упаковки, этикеток, стикеров представляются при наличии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стран, в которых лекарственный препарат подан на регистрацию, зарегистрирован, получил отказ в регистрации или его обращение на рынке этих стран было приостановлено, с указанием наименования лекарственного препарата, номера и даты регистрационного удостоверения, срока его действия или даты принятия решений об отказе в регистрации, приостановлении действия регистрационного удостоверения; представляемая информация должна быть заверена держателем регистрационного удостоверения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 качеству:</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соответствия статье Фармакопеи Евразийского экономического союза или Европейской фармакопеи по губчатой энцефалопатии или документ, выданный уполномоченными органами ветеринарного надзора страны происхождения сырья, в случае использования фармацевтических субстанций животного происхождения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сертификата соответствия фармацевтической субстанции требованиям Европейской фармакопеи (при наличии)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держателя мастер-файла активной фармацевтической субстанции с обязательством сообщать о всех изменениях производителю лекарственного препарата и уполномоченному органу, прежде чем какие-либо существенные изменения будут внесены в мастер-файл фармацевтической субстанции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подтверждающее согласие держателя мастер-файла фармацевтической субстанции на предоставление документов закрытой части мастер-файла на фармацевтическую субстанцию по запросу уполномоченного органа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сертификата на мастер-файл плазмы, выданного уполномоченным органом страны-производителя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сертификата на мастер-файл вакцинного антигена, выданного уполномоченным органом страны-производителя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нормативного документа по качеству в соответствии с приложением 2 настоящего Порядка на официальном языке</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 производству:</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Заверенные в установленном порядке копии действующих документов, подтверждающих соответствие производителя требованиям надлежащей производственной практики, выданные уполномоченными органами страны (стран), в которой расположена производственная площадка (производственные площадки на разные этапы производства), и (или) иным уполномоченным органом и, при наличии, предоставить адрес сайта реестра выданных уполномоченным органом сертификатов соответствия требованиям надлежащей производственной практики (например, EudraGMP) в сети Интернет</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Заверенные в установленном порядке копии действующего разрешения (лицензии) на производство (включая приложения к ним), выданного уполномоченным органом страны, в которой расположена производственная площадка (производственные площадки на разные этапы производства)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Заверенная в установленном порядке копия контракта (договора) между держателем регистрационного удостоверения и производителем по вопросам соблюдения требований надлежащей производственной практики, если держатель регистрационного удостоверения не участвует в производстве лекарственного препарата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Заверенная в установленном порядке копия контракта (договора) между контрактной производственной площадкой и производителем по вопросам соблюдения требований надлежащей производственной практики, в случаях когда весь процесс или один из этапов производства лекарственного препарата осуществляется на контрактной производственной площадке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Согласие на проведение фармацевтической инспекции на соответствие требованиям Правил надлежащей производственной практики Евразийского экономического союза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Заверенная заявителем копия основного досье (мастер-файла) производственной площадки (производственных площадок)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этапов производства с указанием всех производственных площадок, задействованных в процессе производства лекарственного препарата и активной фармацевтической субстанции, включая выпускающий контроль качества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специалистах:</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(краткое резюме) о специалисте, подготовившем резюме по качеству</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(краткое резюме) о специалисте, подготовившем резюме по доклиническим данным</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(краткое резюме) о специалисте, подготовившем резюме по клиническим данным</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Специфические требования для различных типов заявлений:</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 клиническим исследованиям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уполномоченного органа на проведение клинического исследования, в том числе на внесенные поправки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проведенных инспекций на соответствие надлежащей клинической практике (GCP) по заявляемому на регистрацию лекарственному препарату с указанием уполномоченных органов, проводивших инспекции, даты проведения, результатов (при наличии)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Таблица с перечнем клинических исследований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заявителя о том, что лекарственные препараты содержат генетически модифицированные организмы или получены из них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относительно фармаконадзора заявителя</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Мастер-файл системы фармаконадзора держателя регистрационного удостоверения в соответствии с надлежащей практикой фармаконадзора Евразийского экономического союза или краткая характеристика системы фармаконадзора держателя регистрационного удостоверения</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Письменное подтверждение того, что держатель регистрационного удостоверения имеет в своем распоряжении квалифицированное лицо, ответственное за фармаконадзор и контактное лицо на территории Кыргызской Республики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управления рисками на лекарственный препарат, заявляемый на регистрацию в соответствии с требованиями Правил надлежащей практики фармаконадзора Евразийского экономического союза, утверждаемых Евразийской экономической комиссией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заверенные надлежащим образом, подтверждающие наличие взаимодействия, обеспечивающего надлежащее выполнение несколькими юридическими лицами всех обязанностей держателя регистрационного удостоверения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документов, подтверждающих регистрацию товарного знака (при наличии)</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h1rldbxsosbryp2xckw">
      <w:r>
        <w:rPr>
          <w:rFonts w:ascii="Arial" w:cs="Arial" w:eastAsia="Arial" w:hAnsi="Arial"/>
          <w:color w:val="132D3F"/>
          <w:sz w:val="16"/>
          <w:szCs w:val="16"/>
          <w:u w:val="single"/>
        </w:rPr>
        <w:t xml:space="preserve">dalil.kg/document/160123</w:t>
      </w:r>
    </w:hyperlink>
  </w:p>
  <w:p>
    <w:pPr>
      <w:spacing w:after="0" w:before="40"/>
      <w:jc w:val="center"/>
    </w:pPr>
    <w:hyperlink w:history="1" r:id="rIdj727r85ca-v4kif6uqqx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ds5rzwmgyshz18ojfua" Type="http://schemas.openxmlformats.org/officeDocument/2006/relationships/hyperlink" Target="https://dalil.kg/document/160122" TargetMode="External"/><Relationship Id="rIdcihcjvka31wfqnhbisjko" Type="http://schemas.openxmlformats.org/officeDocument/2006/relationships/hyperlink" Target="https://dalil.kg/document/230015494" TargetMode="External"/><Relationship Id="rId4-dki8rt7nc4xazi8eujc" Type="http://schemas.openxmlformats.org/officeDocument/2006/relationships/hyperlink" Target="https://dalil.kg/document/160123#pr2" TargetMode="External"/><Relationship Id="rId1wrbbifmhq8mpoeqdih-j" Type="http://schemas.openxmlformats.org/officeDocument/2006/relationships/hyperlink" Target="https://dalil.kg/document/160123#pr3" TargetMode="External"/><Relationship Id="rIdzgq3-cunxe2qictxq8t8b" Type="http://schemas.openxmlformats.org/officeDocument/2006/relationships/hyperlink" Target="https://dalil.kg/document/160123#pr1" TargetMode="External"/><Relationship Id="rIda5cgsmqjihaogp0na4zup" Type="http://schemas.openxmlformats.org/officeDocument/2006/relationships/hyperlink" Target="https://dalil.kg/document/160123#pr4" TargetMode="External"/><Relationship Id="rIdhaft1ms_jx1m2kuc6pypf" Type="http://schemas.openxmlformats.org/officeDocument/2006/relationships/hyperlink" Target="https://dalil.kg/document/160123#pr1" TargetMode="External"/><Relationship Id="rIdm30-acrtebovw2bg39wtd" Type="http://schemas.openxmlformats.org/officeDocument/2006/relationships/hyperlink" Target="https://dalil.kg/document/230015494" TargetMode="External"/><Relationship Id="rIdsillcdlqayugkohoilfxs" Type="http://schemas.openxmlformats.org/officeDocument/2006/relationships/hyperlink" Target="https://dalil.kg/document/230015494" TargetMode="External"/><Relationship Id="rIdfml3gi7luhiu6oy_t88fk" Type="http://schemas.openxmlformats.org/officeDocument/2006/relationships/hyperlink" Target="https://dalil.kg/document/160122" TargetMode="External"/><Relationship Id="rIdesb5fgpo0qfbdoq6ebqbf" Type="http://schemas.openxmlformats.org/officeDocument/2006/relationships/hyperlink" Target="https://dalil.kg/document/160122" TargetMode="External"/><Relationship Id="rIdbaq7oa69ue9pk0fpuxre7" Type="http://schemas.openxmlformats.org/officeDocument/2006/relationships/hyperlink" Target="https://dalil.kg/document/160122" TargetMode="External"/><Relationship Id="rIdswk8a5--in8kaw4uurdum" Type="http://schemas.openxmlformats.org/officeDocument/2006/relationships/hyperlink" Target="https://dalil.kg/document/16012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h1rldbxsosbryp2xckw" Type="http://schemas.openxmlformats.org/officeDocument/2006/relationships/hyperlink" Target="https://dalil.kg/document/160123" TargetMode="External"/><Relationship Id="rIdj727r85ca-v4kif6uqqx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2026-09-24T00:06:49.083Z</dcterms:created>
  <dcterms:modified xsi:type="dcterms:W3CDTF">2026-09-24T00:06:49.083Z</dcterms:modified>
</cp:coreProperties>
</file>

<file path=docProps/custom.xml><?xml version="1.0" encoding="utf-8"?>
<Properties xmlns="http://schemas.openxmlformats.org/officeDocument/2006/custom-properties" xmlns:vt="http://schemas.openxmlformats.org/officeDocument/2006/docPropsVTypes"/>
</file>