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w:t>
      </w:r>
    </w:p>
    <w:p>
      <w:pPr>
        <w:spacing w:after="120"/>
        <w:jc w:val="center"/>
      </w:pPr>
      <w:r>
        <w:rPr>
          <w:rFonts w:ascii="Arial" w:cs="Arial" w:eastAsia="Arial" w:hAnsi="Arial"/>
          <w:i/>
          <w:iCs/>
          <w:sz w:val="24"/>
          <w:szCs w:val="24"/>
        </w:rPr>
        <w:t xml:space="preserve">Данное постановление вступает в силу </w:t>
      </w:r>
    </w:p>
    <w:p>
      <w:pPr>
        <w:spacing w:after="120"/>
        <w:jc w:val="center"/>
      </w:pPr>
      <w:r>
        <w:rPr>
          <w:rFonts w:ascii="Arial" w:cs="Arial" w:eastAsia="Arial" w:hAnsi="Arial"/>
          <w:i/>
          <w:iCs/>
          <w:sz w:val="24"/>
          <w:szCs w:val="24"/>
        </w:rPr>
        <w:t xml:space="preserve">с 1 января 2028 года</w:t>
      </w:r>
    </w:p>
    <w:p>
      <w:pPr>
        <w:spacing w:after="12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240"/>
        <w:jc w:val="center"/>
      </w:pPr>
      <w:r>
        <w:rPr>
          <w:rFonts w:ascii="Arial" w:cs="Arial" w:eastAsia="Arial" w:hAnsi="Arial"/>
          <w:b/>
          <w:bCs/>
          <w:sz w:val="32"/>
          <w:szCs w:val="32"/>
        </w:rPr>
        <w:t xml:space="preserve">ПОСТАНОВЛЕНИЕ КАБИНЕТА МИНИСТРОВ</w:t>
      </w:r>
      <w:r>
        <w:rPr>
          <w:rFonts w:ascii="Arial" w:cs="Arial" w:eastAsia="Arial" w:hAnsi="Arial"/>
          <w:b/>
          <w:bCs/>
          <w:sz w:val="32"/>
          <w:szCs w:val="32"/>
        </w:rPr>
        <w:t xml:space="preserve">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13 января</w:t>
      </w:r>
      <w:r>
        <w:rPr>
          <w:rFonts w:ascii="Arial" w:cs="Arial" w:eastAsia="Arial" w:hAnsi="Arial"/>
          <w:sz w:val="24"/>
          <w:szCs w:val="24"/>
        </w:rPr>
        <w:t xml:space="preserve"> 202</w:t>
      </w:r>
      <w:r>
        <w:rPr>
          <w:rFonts w:ascii="Arial" w:cs="Arial" w:eastAsia="Arial" w:hAnsi="Arial"/>
          <w:sz w:val="24"/>
          <w:szCs w:val="24"/>
        </w:rPr>
        <w:t xml:space="preserve">3 </w:t>
      </w:r>
      <w:r>
        <w:rPr>
          <w:rFonts w:ascii="Arial" w:cs="Arial" w:eastAsia="Arial" w:hAnsi="Arial"/>
          <w:sz w:val="24"/>
          <w:szCs w:val="24"/>
        </w:rPr>
        <w:t xml:space="preserve">года </w:t>
      </w:r>
      <w:r>
        <w:rPr>
          <w:rFonts w:ascii="Arial" w:cs="Arial" w:eastAsia="Arial" w:hAnsi="Arial"/>
          <w:sz w:val="24"/>
          <w:szCs w:val="24"/>
        </w:rPr>
        <w:t xml:space="preserve">№ </w:t>
      </w:r>
      <w:r>
        <w:rPr>
          <w:rFonts w:ascii="Arial" w:cs="Arial" w:eastAsia="Arial" w:hAnsi="Arial"/>
          <w:sz w:val="24"/>
          <w:szCs w:val="24"/>
        </w:rPr>
        <w:t xml:space="preserve">16</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Об утверждении стандартов финансовой отчетности организаций сектора государственного управления</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от </w:t>
      </w:r>
      <w:hyperlink w:history="1" r:id="rIdcit7-6qxxw-pampgmxu-h">
        <w:r>
          <w:rPr>
            <w:rFonts w:ascii="Arial" w:cs="Arial" w:eastAsia="Arial" w:hAnsi="Arial"/>
            <w:b w:val="false"/>
            <w:bCs w:val="false"/>
            <w:i/>
            <w:iCs/>
            <w:color w:val="1D4ED8"/>
            <w:sz w:val="24"/>
            <w:szCs w:val="24"/>
            <w:u w:val="single"/>
          </w:rPr>
          <w:t xml:space="preserve">21 ноября 2023 года № 611</w:t>
        </w:r>
      </w:hyperlink>
      <w:r>
        <w:rPr>
          <w:rFonts w:ascii="Arial" w:cs="Arial" w:eastAsia="Arial" w:hAnsi="Arial"/>
          <w:b w:val="false"/>
          <w:bCs w:val="false"/>
          <w:i/>
          <w:iCs/>
          <w:sz w:val="24"/>
          <w:szCs w:val="24"/>
        </w:rPr>
        <w:t xml:space="preserve">, </w:t>
      </w:r>
      <w:hyperlink w:history="1" r:id="rIds7niykizdvwyhkrwihea7">
        <w:r>
          <w:rPr>
            <w:rFonts w:ascii="Arial" w:cs="Arial" w:eastAsia="Arial" w:hAnsi="Arial"/>
            <w:b w:val="false"/>
            <w:bCs w:val="false"/>
            <w:i/>
            <w:iCs/>
            <w:color w:val="1D4ED8"/>
            <w:sz w:val="24"/>
            <w:szCs w:val="24"/>
            <w:u w:val="single"/>
          </w:rPr>
          <w:t xml:space="preserve">7 ноября 2025 года № 726</w:t>
        </w:r>
      </w:hyperlink>
      <w:r>
        <w:rPr>
          <w:rFonts w:ascii="Arial" w:cs="Arial" w:eastAsia="Arial" w:hAnsi="Arial"/>
          <w:b w:val="false"/>
          <w:bCs w:val="false"/>
          <w:i/>
          <w:iCs/>
          <w:sz w:val="24"/>
          <w:szCs w:val="24"/>
        </w:rPr>
        <w:t xml:space="preserve"> )</w:t>
      </w:r>
    </w:p>
    <w:p>
      <w:pPr>
        <w:spacing w:after="60"/>
        <w:ind w:firstLine="567"/>
        <w:jc w:val="both"/>
      </w:pPr>
      <w:r>
        <w:rPr>
          <w:rFonts w:ascii="Arial" w:cs="Arial" w:eastAsia="Arial" w:hAnsi="Arial"/>
          <w:sz w:val="24"/>
          <w:szCs w:val="24"/>
        </w:rPr>
        <w:t xml:space="preserve">В целях проведения реформ в управлении государственными финансами, в соответствии со статьями </w:t>
      </w:r>
      <w:hyperlink w:history="1" r:id="rIdigslo4_afk6dpiu62v7bb">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fkt_mbhvbywsnb7n3jrys">
        <w:r>
          <w:rPr>
            <w:rFonts w:ascii="Arial" w:cs="Arial" w:eastAsia="Arial" w:hAnsi="Arial"/>
            <w:color w:val="1D4ED8"/>
            <w:sz w:val="24"/>
            <w:szCs w:val="24"/>
            <w:u w:val="single"/>
          </w:rPr>
          <w:t xml:space="preserve">5</w:t>
        </w:r>
      </w:hyperlink>
      <w:r>
        <w:rPr>
          <w:rFonts w:ascii="Arial" w:cs="Arial" w:eastAsia="Arial" w:hAnsi="Arial"/>
          <w:sz w:val="24"/>
          <w:szCs w:val="24"/>
        </w:rPr>
        <w:t xml:space="preserve"> Закона Кыргызской Республики "О бухгалтерском учете", статьями </w:t>
      </w:r>
      <w:hyperlink w:history="1" r:id="rIdj98_7bx37gx7atbfo8b0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xsg20pr72mgfszvsgmah">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стандарты финансовой отчетности организаций сектора государственного управления согласно приложениям 1-9.</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ktk_krdaqkqiqiwhqaajw">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w:t>
        </w:r>
      </w:hyperlink>
      <w:r>
        <w:rPr>
          <w:rFonts w:ascii="Arial" w:cs="Arial" w:eastAsia="Arial" w:hAnsi="Arial"/>
          <w:i/>
          <w:iCs/>
          <w:sz w:val="24"/>
          <w:szCs w:val="24"/>
        </w:rPr>
        <w:t xml:space="preserve">cтандарт финансовой отчетности организаций сектора государственного управления 1 "Представление финансовой отчетности";</w:t>
      </w:r>
    </w:p>
    <w:p>
      <w:pPr>
        <w:spacing w:after="60"/>
        <w:ind w:firstLine="567"/>
        <w:jc w:val="both"/>
      </w:pPr>
      <w:hyperlink w:history="1" r:id="rIddtanr3zbnvnvn_iqfw2rz">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II</w:t>
        </w:r>
      </w:hyperlink>
      <w:r>
        <w:rPr>
          <w:rFonts w:ascii="Arial" w:cs="Arial" w:eastAsia="Arial" w:hAnsi="Arial"/>
          <w:i/>
          <w:iCs/>
          <w:sz w:val="24"/>
          <w:szCs w:val="24"/>
        </w:rPr>
        <w:t xml:space="preserve">с</w:t>
      </w:r>
      <w:r>
        <w:rPr>
          <w:rFonts w:ascii="Arial" w:cs="Arial" w:eastAsia="Arial" w:hAnsi="Arial"/>
          <w:i/>
          <w:iCs/>
          <w:sz w:val="24"/>
          <w:szCs w:val="24"/>
        </w:rPr>
        <w:t xml:space="preserve">тандарт финансовой отчетности организаций сектора государственного управления 2 "Отчет о движении денежных средств";</w:t>
      </w:r>
    </w:p>
    <w:p>
      <w:pPr>
        <w:spacing w:after="60"/>
        <w:ind w:firstLine="567"/>
        <w:jc w:val="both"/>
      </w:pPr>
      <w:hyperlink w:history="1" r:id="rIdin0rxz2s5zdbqdqcshcvc">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III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3 "Учетная политика, изменения оценочных значений и ошибки";</w:t>
      </w:r>
    </w:p>
    <w:p>
      <w:pPr>
        <w:spacing w:after="60"/>
        <w:ind w:firstLine="567"/>
        <w:jc w:val="both"/>
      </w:pPr>
      <w:hyperlink w:history="1" r:id="rIdw6fwxzxgnpbrxur5vvae3">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IV</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4 "Влияние изменений обменных курсов";</w:t>
      </w:r>
    </w:p>
    <w:p>
      <w:pPr>
        <w:spacing w:after="60"/>
        <w:ind w:firstLine="567"/>
        <w:jc w:val="both"/>
      </w:pPr>
      <w:hyperlink w:history="1" r:id="rIdp-k42j1vuifbb2kvlhhpn">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5 "Затраты по заимствованиям";</w:t>
      </w:r>
    </w:p>
    <w:p>
      <w:pPr>
        <w:spacing w:after="60"/>
        <w:ind w:firstLine="567"/>
        <w:jc w:val="both"/>
      </w:pPr>
      <w:hyperlink w:history="1" r:id="rIdhh_q4-qryh4w_xjxj5edj">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12 "Запасы";</w:t>
      </w:r>
    </w:p>
    <w:p>
      <w:pPr>
        <w:spacing w:after="60"/>
        <w:ind w:firstLine="567"/>
        <w:jc w:val="both"/>
      </w:pPr>
      <w:hyperlink w:history="1" r:id="rIdz1-qwu7-3zgcy6buzdxns">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VII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14 "События после отчетной даты";</w:t>
      </w:r>
    </w:p>
    <w:p>
      <w:pPr>
        <w:spacing w:after="60"/>
        <w:ind w:firstLine="567"/>
        <w:jc w:val="both"/>
      </w:pPr>
      <w:hyperlink w:history="1" r:id="rIdnhc3b6l5fhiallqjbldxj">
        <w:r>
          <w:rPr>
            <w:rFonts w:ascii="Arial" w:cs="Arial" w:eastAsia="Arial" w:hAnsi="Arial"/>
            <w:i/>
            <w:iCs/>
            <w:color w:val="1D4ED8"/>
            <w:sz w:val="24"/>
            <w:szCs w:val="24"/>
            <w:u w:val="single"/>
          </w:rPr>
          <w:t xml:space="preserve">Раздел </w:t>
        </w:r>
        <w:r>
          <w:rPr>
            <w:rFonts w:ascii="Arial" w:cs="Arial" w:eastAsia="Arial" w:hAnsi="Arial"/>
            <w:i/>
            <w:iCs/>
            <w:color w:val="1D4ED8"/>
            <w:sz w:val="24"/>
            <w:szCs w:val="24"/>
            <w:u w:val="single"/>
          </w:rPr>
          <w:t xml:space="preserve">VIII</w:t>
        </w:r>
      </w:hyperlink>
      <w:r>
        <w:rPr>
          <w:rFonts w:ascii="Arial" w:cs="Arial" w:eastAsia="Arial" w:hAnsi="Arial"/>
          <w:i/>
          <w:iCs/>
          <w:sz w:val="24"/>
          <w:szCs w:val="24"/>
        </w:rPr>
        <w:t xml:space="preserve">стандарт финансовой отчетности организаций сектора государственного управления 17 "Основные средства"</w:t>
      </w:r>
    </w:p>
    <w:p>
      <w:pPr>
        <w:spacing w:after="60"/>
        <w:ind w:firstLine="567"/>
        <w:jc w:val="both"/>
      </w:pPr>
      <w:r>
        <w:rPr>
          <w:rFonts w:ascii="Arial" w:cs="Arial" w:eastAsia="Arial" w:hAnsi="Arial"/>
          <w:sz w:val="24"/>
          <w:szCs w:val="24"/>
        </w:rPr>
        <w:t xml:space="preserve">2. Признать утратившим силу </w:t>
      </w:r>
      <w:hyperlink w:history="1" r:id="rIdkjtkmxzp_lnckuqasnvz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делегировании полномочий Министерству финансов Кыргызской Республики по принятию нормативных правовых актов по бухгалтерскому учету и отчетности для бюджетных учреждений" от 20 декабря 2013 года № 691.</w:t>
      </w:r>
    </w:p>
    <w:p>
      <w:pPr>
        <w:spacing w:after="60"/>
        <w:ind w:firstLine="567"/>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1 января 2028 года.</w:t>
      </w:r>
    </w:p>
    <w:p>
      <w:pPr>
        <w:spacing w:after="6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gag6sbl-de4otv0y47i9">
        <w:r>
          <w:rPr>
            <w:rFonts w:ascii="Arial" w:cs="Arial" w:eastAsia="Arial" w:hAnsi="Arial"/>
            <w:i/>
            <w:iCs/>
            <w:color w:val="1D4ED8"/>
            <w:sz w:val="24"/>
            <w:szCs w:val="24"/>
            <w:u w:val="single"/>
          </w:rPr>
          <w:t xml:space="preserve">21 ноября 2023 года № 611</w:t>
        </w:r>
      </w:hyperlink>
      <w:r>
        <w:rPr>
          <w:rFonts w:ascii="Arial" w:cs="Arial" w:eastAsia="Arial" w:hAnsi="Arial"/>
          <w:i/>
          <w:iCs/>
          <w:sz w:val="24"/>
          <w:szCs w:val="24"/>
        </w:rPr>
        <w:t xml:space="preserve">, </w:t>
      </w:r>
      <w:hyperlink w:history="1" r:id="rIdxkaclxaeg_o5lsqlgy-9p">
        <w:r>
          <w:rPr>
            <w:rFonts w:ascii="Arial" w:cs="Arial" w:eastAsia="Arial" w:hAnsi="Arial"/>
            <w:i/>
            <w:iCs/>
            <w:color w:val="1D4ED8"/>
            <w:sz w:val="24"/>
            <w:szCs w:val="24"/>
            <w:u w:val="single"/>
          </w:rPr>
          <w:t xml:space="preserve">7 ноября 2025 года № 726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200" w:before="200"/>
        <w:jc w:val="center"/>
      </w:pPr>
      <w:r>
        <w:rPr>
          <w:rFonts w:ascii="Arial" w:cs="Arial" w:eastAsia="Arial" w:hAnsi="Arial"/>
          <w:b/>
          <w:bCs/>
          <w:sz w:val="28"/>
          <w:szCs w:val="28"/>
        </w:rPr>
        <w:t xml:space="preserve">Концептуальные основы</w:t>
      </w:r>
      <w:r>
        <w:rPr>
          <w:rFonts w:ascii="Arial" w:cs="Arial" w:eastAsia="Arial" w:hAnsi="Arial"/>
          <w:b/>
          <w:bCs/>
          <w:sz w:val="28"/>
          <w:szCs w:val="28"/>
        </w:rPr>
        <w:t xml:space="preserve">
 финансовой отчетности общего назначения организаций сектора государственного управления Кыргызской Республики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Концептуальные основы финансовой отчетности общего назначения организаций сектора государственного управления Кыргызской Республики (далее - Концептуальные основы) разработаны в соответствии с пунктом 2 </w:t>
      </w:r>
      <w:hyperlink w:history="1" r:id="rIdes1pjwpgvpkmbnv8yeqvg">
        <w:r>
          <w:rPr>
            <w:rFonts w:ascii="Arial" w:cs="Arial" w:eastAsia="Arial" w:hAnsi="Arial"/>
            <w:color w:val="1D4ED8"/>
            <w:sz w:val="24"/>
            <w:szCs w:val="24"/>
            <w:u w:val="single"/>
          </w:rPr>
          <w:t xml:space="preserve">статьи 119</w:t>
        </w:r>
      </w:hyperlink>
      <w:r>
        <w:rPr>
          <w:rFonts w:ascii="Arial" w:cs="Arial" w:eastAsia="Arial" w:hAnsi="Arial"/>
          <w:sz w:val="24"/>
          <w:szCs w:val="24"/>
        </w:rPr>
        <w:t xml:space="preserve"> Бюджетного кодекса Кыргызской Республики, пунктом 2-1 </w:t>
      </w:r>
      <w:hyperlink w:history="1" r:id="rId3chpwkyrmt2cti_u7zle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 пунктом </w:t>
      </w:r>
      <w:hyperlink w:history="1" r:id="rIdznscan2q6skh46qildzek">
        <w:r>
          <w:rPr>
            <w:rFonts w:ascii="Arial" w:cs="Arial" w:eastAsia="Arial" w:hAnsi="Arial"/>
            <w:color w:val="1D4ED8"/>
            <w:sz w:val="24"/>
            <w:szCs w:val="24"/>
            <w:u w:val="single"/>
          </w:rPr>
          <w:t xml:space="preserve">2 статьи 6</w:t>
        </w:r>
      </w:hyperlink>
      <w:r>
        <w:rPr>
          <w:rFonts w:ascii="Arial" w:cs="Arial" w:eastAsia="Arial" w:hAnsi="Arial"/>
          <w:sz w:val="24"/>
          <w:szCs w:val="24"/>
        </w:rPr>
        <w:t xml:space="preserve"> Закона Кыргызской Республики "О бухгалтерском учете", с учетом требований Концептуальных основ финансовой отчетности общего назначения организаций общественного сектора, которые были разработаны и одобрены Советом по МСФООС.</w:t>
      </w:r>
    </w:p>
    <w:p>
      <w:pPr>
        <w:spacing w:after="60"/>
        <w:ind w:firstLine="567"/>
        <w:jc w:val="both"/>
      </w:pPr>
      <w:r>
        <w:rPr>
          <w:rFonts w:ascii="Arial" w:cs="Arial" w:eastAsia="Arial" w:hAnsi="Arial"/>
          <w:sz w:val="24"/>
          <w:szCs w:val="24"/>
        </w:rPr>
        <w:t xml:space="preserve">2. Концептуальные основы, вместе с Бюджетным </w:t>
      </w:r>
      <w:hyperlink w:history="1" r:id="rIdpzaztxy-gxdsbhuqcfrq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4ulukkcvuqg4xuqfg8pl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определяют основные понятия, лежащие в основе финансовой отчетности организаций общественного сектора, включая республиканское правительство, органы местного самоуправления и государство в целом (далее - организация), подготавливаемой на основе метода начисления. Концептуальные основы вместе с Бюджетным </w:t>
      </w:r>
      <w:hyperlink w:history="1" r:id="rId1qfqj4lyb5flytpyu52n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1fismsen3a_ojsrx9lr_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 применяются при разработке СФООСГУ, иных документов, регулирующих бухгалтерский учет и финансовую отчетность организаций сектора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3. Концептуальные основы не устанавливают официальные требования к финансовой отчетности организаций, которые применяют СФООСГУ, но и не отменяют требования СФООСГУ, иных нормативных правовых актов, которые являются обязательными для применения при ведении бухгалтерского учета и составлении финансовой отчетности организациями общественного сектора Кыргызской Республики.</w:t>
      </w:r>
    </w:p>
    <w:p>
      <w:pPr>
        <w:spacing w:after="200" w:before="200"/>
        <w:jc w:val="center"/>
      </w:pPr>
      <w:r>
        <w:rPr>
          <w:rFonts w:ascii="Arial" w:cs="Arial" w:eastAsia="Arial" w:hAnsi="Arial"/>
          <w:b/>
          <w:bCs/>
          <w:sz w:val="24"/>
          <w:szCs w:val="24"/>
        </w:rPr>
        <w:t xml:space="preserve">2. Цель и пользователи финансовой отчетности</w:t>
      </w:r>
    </w:p>
    <w:p>
      <w:pPr>
        <w:spacing w:after="60"/>
        <w:ind w:firstLine="567"/>
        <w:jc w:val="both"/>
      </w:pPr>
      <w:r>
        <w:rPr>
          <w:rFonts w:ascii="Arial" w:cs="Arial" w:eastAsia="Arial" w:hAnsi="Arial"/>
          <w:sz w:val="24"/>
          <w:szCs w:val="24"/>
        </w:rPr>
        <w:t xml:space="preserve">4. Целью финансовой отчетности является предоставление полезной, для пользователей финансовой отчетности, информации об организации, в целях подотчетности и принятия решений. При определении полезной информации должны учитываться принципы бюджетной системы Кыргызской Республики.</w:t>
      </w:r>
    </w:p>
    <w:p>
      <w:pPr>
        <w:spacing w:after="60"/>
        <w:ind w:firstLine="567"/>
        <w:jc w:val="both"/>
      </w:pPr>
      <w:r>
        <w:rPr>
          <w:rFonts w:ascii="Arial" w:cs="Arial" w:eastAsia="Arial" w:hAnsi="Arial"/>
          <w:sz w:val="24"/>
          <w:szCs w:val="24"/>
        </w:rPr>
        <w:t xml:space="preserve">5. Пользователями финансовой отчетности являются получатели услуг, оказываемых государством, и их представители, и поставщики ресурсов, необходимых для деятельности государства, и их представители. К услугам, оказываемым государством, относят все виды деятельности государства и его органов, направленные на служение обществу. Государственные органы, органы системы государственного социального страхования и пенсионного обеспечения, органы местного самоуправления, их подведомственные организации, бюджетные учреждения, иные организации относящиеся к государственным оказывают услуги необходимые для деятельности государства, в том числе услуги, относимые к государственным услугам в соответствии с реестром государственных услуг, но не ограничиваясь ими.</w:t>
      </w:r>
    </w:p>
    <w:p>
      <w:pPr>
        <w:spacing w:after="60"/>
        <w:ind w:firstLine="567"/>
        <w:jc w:val="both"/>
      </w:pPr>
      <w:r>
        <w:rPr>
          <w:rFonts w:ascii="Arial" w:cs="Arial" w:eastAsia="Arial" w:hAnsi="Arial"/>
          <w:sz w:val="24"/>
          <w:szCs w:val="24"/>
        </w:rPr>
        <w:t xml:space="preserve">6. Получателями услуг, оказываемых государством, являются граждане, резиденты, не являющиеся гражданами, внешние и внутренние кредиторы, коммерческие и некоммерческие организации, прочие получатели услуг, оказываемых государством.</w:t>
      </w:r>
    </w:p>
    <w:p>
      <w:pPr>
        <w:spacing w:after="60"/>
        <w:ind w:firstLine="567"/>
        <w:jc w:val="both"/>
      </w:pPr>
      <w:r>
        <w:rPr>
          <w:rFonts w:ascii="Arial" w:cs="Arial" w:eastAsia="Arial" w:hAnsi="Arial"/>
          <w:sz w:val="24"/>
          <w:szCs w:val="24"/>
        </w:rPr>
        <w:t xml:space="preserve">7. Поставщиками ресурсов, необходимых для деятельности государства, являются плательщики налогов и взносов, международные финансовые организации, предоставляющие финансовые ресурсы, прочие организации и граждане, предоставляющие ресурсы организациям Кыргызской Республики.</w:t>
      </w:r>
    </w:p>
    <w:p>
      <w:pPr>
        <w:spacing w:after="60"/>
        <w:ind w:firstLine="567"/>
        <w:jc w:val="both"/>
      </w:pPr>
      <w:r>
        <w:rPr>
          <w:rFonts w:ascii="Arial" w:cs="Arial" w:eastAsia="Arial" w:hAnsi="Arial"/>
          <w:sz w:val="24"/>
          <w:szCs w:val="24"/>
        </w:rPr>
        <w:t xml:space="preserve">8. Представителями получателей услуг, оказываемых государством, и поставщиков ресурсов, необходимых для деятельности государства, являются законодательные органы, члены парламента, иные представители получателей услуг и поставщиков ресурсов.</w:t>
      </w:r>
    </w:p>
    <w:p>
      <w:pPr>
        <w:spacing w:after="60"/>
        <w:ind w:firstLine="567"/>
        <w:jc w:val="both"/>
      </w:pPr>
      <w:r>
        <w:rPr>
          <w:rFonts w:ascii="Arial" w:cs="Arial" w:eastAsia="Arial" w:hAnsi="Arial"/>
          <w:sz w:val="24"/>
          <w:szCs w:val="24"/>
        </w:rPr>
        <w:t xml:space="preserve">9. Организации подотчетны перед поставщиками ресурсов, необходимых для деятельности государства, в связи с получением от них ресурсов. Выполнение обязательств по подотчетности требует предоставления информации о том, как организация управляет ресурсами, переданными ей, для предоставления услуг своим пользователям и другим лицам, а также предоставления информации о соответствии законодательству, регулирующему деятельность организации, о результатах организации в области предоставления услуг в течение отчетного периода и ее способности продолжать оказывать услуги в будущих периодах.</w:t>
      </w:r>
    </w:p>
    <w:p>
      <w:pPr>
        <w:spacing w:after="60"/>
        <w:ind w:firstLine="567"/>
        <w:jc w:val="both"/>
      </w:pPr>
      <w:r>
        <w:rPr>
          <w:rFonts w:ascii="Arial" w:cs="Arial" w:eastAsia="Arial" w:hAnsi="Arial"/>
          <w:sz w:val="24"/>
          <w:szCs w:val="24"/>
        </w:rPr>
        <w:t xml:space="preserve">10. Получателям услуг, оказываемых государством, и поставщикам ресурсов, необходимых для деятельности государства, а также их представителям, может потребоваться информация для принятия решений о предоставлении или распределении финансовых ресурсов организациям, принятия решений при голосовании, и подготовки обращений к избранным официальным лицам или другим представительным органам государственной власти.</w:t>
      </w:r>
    </w:p>
    <w:p>
      <w:pPr>
        <w:spacing w:after="60"/>
        <w:ind w:firstLine="567"/>
        <w:jc w:val="both"/>
      </w:pPr>
      <w:r>
        <w:rPr>
          <w:rFonts w:ascii="Arial" w:cs="Arial" w:eastAsia="Arial" w:hAnsi="Arial"/>
          <w:sz w:val="24"/>
          <w:szCs w:val="24"/>
        </w:rPr>
        <w:t xml:space="preserve">11. В целях подотчетности и принятия решений, получателям услуг, оказываемых государством, и поставщикам ресурсов, необходимых для деятельности государства, будет нужна информация для проведения оценки: результатов деятельности организации в течение отчетного периода; ликвидности и платежеспособности; долгосрочной устойчивости предоставления услуг и других операций и их изменении в результате деятельности организации в течение отчетного периода; способности организации адаптироваться к изменяющимся обстоятельствам, например, к изменениям в демографии или изменениям внутренних, или глобальных экономических условий, которые могут оказать влияние на характер или структуру осуществляемой деятельности и предоставляемых услуг.</w:t>
      </w:r>
    </w:p>
    <w:p>
      <w:pPr>
        <w:spacing w:after="60"/>
        <w:ind w:firstLine="567"/>
        <w:jc w:val="both"/>
      </w:pPr>
      <w:r>
        <w:rPr>
          <w:rFonts w:ascii="Arial" w:cs="Arial" w:eastAsia="Arial" w:hAnsi="Arial"/>
          <w:sz w:val="24"/>
          <w:szCs w:val="24"/>
        </w:rPr>
        <w:t xml:space="preserve">12. Информация, предоставляемая организацией, о финансовом положении, о финансовых результатах деятельности, о денежных потоках, бюджетная информация, информация об основных фактах, повлиявших на результат финансовой деятельности организации и деятельности по предоставлению услуг за отчетный период, а также о допущениях, сделанных при представлении такой информации, о текущей и будущей деятельности по предоставлению услуг, не финансовых результатах деятельности за отчетный период, о целях и задачах организации, их возможном влиянии на будущие потребности в ресурсах организации и вероятных источниках финансирования таких ресурсов позволит обеспечить пользователей финансовой отчетности необходимой информацией.</w:t>
      </w:r>
    </w:p>
    <w:p>
      <w:pPr>
        <w:spacing w:after="200" w:before="200"/>
        <w:jc w:val="center"/>
      </w:pPr>
      <w:r>
        <w:rPr>
          <w:rFonts w:ascii="Arial" w:cs="Arial" w:eastAsia="Arial" w:hAnsi="Arial"/>
          <w:b/>
          <w:bCs/>
          <w:sz w:val="24"/>
          <w:szCs w:val="24"/>
        </w:rPr>
        <w:t xml:space="preserve">3. Качественные характеристики информации, включенной в финансовую отчетность</w:t>
      </w:r>
    </w:p>
    <w:p>
      <w:pPr>
        <w:spacing w:after="60"/>
        <w:ind w:firstLine="567"/>
        <w:jc w:val="both"/>
      </w:pPr>
      <w:r>
        <w:rPr>
          <w:rFonts w:ascii="Arial" w:cs="Arial" w:eastAsia="Arial" w:hAnsi="Arial"/>
          <w:sz w:val="24"/>
          <w:szCs w:val="24"/>
        </w:rPr>
        <w:t xml:space="preserve">13. Для того, чтобы информация, включаемая в финансовую отчетность, была полезной для пользователей и отвечала целям финансовой отчетности необходимо соответствие качественным характеристикам. К качественным характеристикам относят: уместность, достоверное представление, понятность, своевременность, сопоставимость и проверяемость.</w:t>
      </w:r>
    </w:p>
    <w:p>
      <w:pPr>
        <w:spacing w:after="60"/>
        <w:ind w:firstLine="567"/>
        <w:jc w:val="both"/>
      </w:pPr>
      <w:r>
        <w:rPr>
          <w:rFonts w:ascii="Arial" w:cs="Arial" w:eastAsia="Arial" w:hAnsi="Arial"/>
          <w:sz w:val="24"/>
          <w:szCs w:val="24"/>
        </w:rPr>
        <w:t xml:space="preserve">14. Одновременное соответствие всем качественным характеристикам может быть не достижимо в силу ограничений, возникающих при получении, обработке и предоставлении информации. К ограничениям на информацию, включенную в финансовую отчетность, относят: существенность, соотношение затрат и выгод, баланс между качественными характеристиками.</w:t>
      </w:r>
    </w:p>
    <w:p>
      <w:pPr>
        <w:spacing w:after="200" w:before="200"/>
        <w:jc w:val="center"/>
      </w:pPr>
      <w:r>
        <w:rPr>
          <w:rFonts w:ascii="Arial" w:cs="Arial" w:eastAsia="Arial" w:hAnsi="Arial"/>
          <w:b/>
          <w:bCs/>
          <w:sz w:val="24"/>
          <w:szCs w:val="24"/>
        </w:rPr>
        <w:t xml:space="preserve">§ 1. Уместность</w:t>
      </w:r>
    </w:p>
    <w:p>
      <w:pPr>
        <w:spacing w:after="60"/>
        <w:ind w:firstLine="567"/>
        <w:jc w:val="both"/>
      </w:pPr>
      <w:r>
        <w:rPr>
          <w:rFonts w:ascii="Arial" w:cs="Arial" w:eastAsia="Arial" w:hAnsi="Arial"/>
          <w:sz w:val="24"/>
          <w:szCs w:val="24"/>
        </w:rPr>
        <w:t xml:space="preserve">15. Предоставляемая организацией информация уместна, если она полезна пользователям финансовой отчетности для прогнозирования будущей деятельности организации (прогнозная ценность) и для проверки пользователями прошлых и текущих оценок деятельности организации (подтверждающая ценность).</w:t>
      </w:r>
    </w:p>
    <w:p>
      <w:pPr>
        <w:spacing w:after="200" w:before="200"/>
        <w:jc w:val="center"/>
      </w:pPr>
      <w:r>
        <w:rPr>
          <w:rFonts w:ascii="Arial" w:cs="Arial" w:eastAsia="Arial" w:hAnsi="Arial"/>
          <w:b/>
          <w:bCs/>
          <w:sz w:val="24"/>
          <w:szCs w:val="24"/>
        </w:rPr>
        <w:t xml:space="preserve">§ 2. Достоверное представление</w:t>
      </w:r>
    </w:p>
    <w:p>
      <w:pPr>
        <w:spacing w:after="60"/>
        <w:ind w:firstLine="567"/>
        <w:jc w:val="both"/>
      </w:pPr>
      <w:r>
        <w:rPr>
          <w:rFonts w:ascii="Arial" w:cs="Arial" w:eastAsia="Arial" w:hAnsi="Arial"/>
          <w:sz w:val="24"/>
          <w:szCs w:val="24"/>
        </w:rPr>
        <w:t xml:space="preserve">16. Информация достоверно отражает события в деятельности организации, когда описание события, основанное на такой информации, является полным, нейтральным и свободным от существенных ошибок.</w:t>
      </w:r>
    </w:p>
    <w:p>
      <w:pPr>
        <w:spacing w:after="60"/>
        <w:ind w:firstLine="567"/>
        <w:jc w:val="both"/>
      </w:pPr>
      <w:r>
        <w:rPr>
          <w:rFonts w:ascii="Arial" w:cs="Arial" w:eastAsia="Arial" w:hAnsi="Arial"/>
          <w:sz w:val="24"/>
          <w:szCs w:val="24"/>
        </w:rPr>
        <w:t xml:space="preserve">Описание события является полным, когда описание содержит всю полезную для пользователя финансовой отчетности информацию в целях подотчетности и принятия решений. Полное описание события должно содержать количественную, описательную и пояснительную информацию, включая описание основных допущений, сделанных при обработке информации.</w:t>
      </w:r>
    </w:p>
    <w:p>
      <w:pPr>
        <w:spacing w:after="60"/>
        <w:ind w:firstLine="567"/>
        <w:jc w:val="both"/>
      </w:pPr>
      <w:r>
        <w:rPr>
          <w:rFonts w:ascii="Arial" w:cs="Arial" w:eastAsia="Arial" w:hAnsi="Arial"/>
          <w:sz w:val="24"/>
          <w:szCs w:val="24"/>
        </w:rPr>
        <w:t xml:space="preserve">Нейтральность информации означает что отбор и представление информации не производится с целью достижения заранее определенного результата, например без определенной цели повлиять на пользователя информации.</w:t>
      </w:r>
    </w:p>
    <w:p>
      <w:pPr>
        <w:spacing w:after="60"/>
        <w:ind w:firstLine="567"/>
        <w:jc w:val="both"/>
      </w:pPr>
      <w:r>
        <w:rPr>
          <w:rFonts w:ascii="Arial" w:cs="Arial" w:eastAsia="Arial" w:hAnsi="Arial"/>
          <w:sz w:val="24"/>
          <w:szCs w:val="24"/>
        </w:rPr>
        <w:t xml:space="preserve">Отсутствие существенных ошибок в информации означает, что в описании события отсутствуют ошибки или пропуски, которые по отдельности или в совокупности являются существенными, и описание события обладает всеми качественными характеристиками информации.</w:t>
      </w:r>
    </w:p>
    <w:p>
      <w:pPr>
        <w:spacing w:after="60"/>
        <w:ind w:firstLine="567"/>
        <w:jc w:val="both"/>
      </w:pPr>
      <w:r>
        <w:rPr>
          <w:rFonts w:ascii="Arial" w:cs="Arial" w:eastAsia="Arial" w:hAnsi="Arial"/>
          <w:sz w:val="24"/>
          <w:szCs w:val="24"/>
        </w:rPr>
        <w:t xml:space="preserve">Информация должна быть, насколько это возможно, полной, нейтральной и свободной от ошибок.</w:t>
      </w:r>
    </w:p>
    <w:p>
      <w:pPr>
        <w:spacing w:after="60"/>
        <w:ind w:firstLine="567"/>
        <w:jc w:val="both"/>
      </w:pPr>
      <w:r>
        <w:rPr>
          <w:rFonts w:ascii="Arial" w:cs="Arial" w:eastAsia="Arial" w:hAnsi="Arial"/>
          <w:sz w:val="24"/>
          <w:szCs w:val="24"/>
        </w:rPr>
        <w:t xml:space="preserve">Достоверная информация отражает суть события, и не обязательно всегда совпадает с правовой формой события.</w:t>
      </w:r>
    </w:p>
    <w:p>
      <w:pPr>
        <w:spacing w:after="200" w:before="200"/>
        <w:jc w:val="center"/>
      </w:pPr>
      <w:r>
        <w:rPr>
          <w:rFonts w:ascii="Arial" w:cs="Arial" w:eastAsia="Arial" w:hAnsi="Arial"/>
          <w:b/>
          <w:bCs/>
          <w:sz w:val="24"/>
          <w:szCs w:val="24"/>
        </w:rPr>
        <w:t xml:space="preserve">§ 3. Понятность</w:t>
      </w:r>
    </w:p>
    <w:p>
      <w:pPr>
        <w:spacing w:after="60"/>
        <w:ind w:firstLine="567"/>
        <w:jc w:val="both"/>
      </w:pPr>
      <w:r>
        <w:rPr>
          <w:rFonts w:ascii="Arial" w:cs="Arial" w:eastAsia="Arial" w:hAnsi="Arial"/>
          <w:sz w:val="24"/>
          <w:szCs w:val="24"/>
        </w:rPr>
        <w:t xml:space="preserve">17. Понятность - это качество информации, позволяющее понять ее значение широкому кругу пользователей информации. Информация в финансовой отчетности организации, в том числе сложная для понимания информация, должна быть представлена таким образом, чтобы отвечать потребностям и знаниям пользователей, а также характеру представленной информации.</w:t>
      </w:r>
    </w:p>
    <w:p>
      <w:pPr>
        <w:spacing w:after="200" w:before="200"/>
        <w:jc w:val="center"/>
      </w:pPr>
      <w:r>
        <w:rPr>
          <w:rFonts w:ascii="Arial" w:cs="Arial" w:eastAsia="Arial" w:hAnsi="Arial"/>
          <w:b/>
          <w:bCs/>
          <w:sz w:val="24"/>
          <w:szCs w:val="24"/>
        </w:rPr>
        <w:t xml:space="preserve">§ 4. Своевременность</w:t>
      </w:r>
    </w:p>
    <w:p>
      <w:pPr>
        <w:spacing w:after="60"/>
        <w:ind w:firstLine="567"/>
        <w:jc w:val="both"/>
      </w:pPr>
      <w:r>
        <w:rPr>
          <w:rFonts w:ascii="Arial" w:cs="Arial" w:eastAsia="Arial" w:hAnsi="Arial"/>
          <w:sz w:val="24"/>
          <w:szCs w:val="24"/>
        </w:rPr>
        <w:t xml:space="preserve">18. Своевременность означает доступность информации для пользователей финансовой отчетности, прежде чем она утратит свою полезность для целей подотчетности и принятия решений.</w:t>
      </w:r>
    </w:p>
    <w:p>
      <w:pPr>
        <w:spacing w:after="200" w:before="200"/>
        <w:jc w:val="center"/>
      </w:pPr>
      <w:r>
        <w:rPr>
          <w:rFonts w:ascii="Arial" w:cs="Arial" w:eastAsia="Arial" w:hAnsi="Arial"/>
          <w:b/>
          <w:bCs/>
          <w:sz w:val="24"/>
          <w:szCs w:val="24"/>
        </w:rPr>
        <w:t xml:space="preserve">§ 5. Сопоставимость</w:t>
      </w:r>
    </w:p>
    <w:p>
      <w:pPr>
        <w:spacing w:after="60"/>
        <w:ind w:firstLine="567"/>
        <w:jc w:val="both"/>
      </w:pPr>
      <w:r>
        <w:rPr>
          <w:rFonts w:ascii="Arial" w:cs="Arial" w:eastAsia="Arial" w:hAnsi="Arial"/>
          <w:sz w:val="24"/>
          <w:szCs w:val="24"/>
        </w:rPr>
        <w:t xml:space="preserve">19. Сопоставимость - это качество информации, которая позволяет пользователям финансовой отчетности определять сходства и различия между двумя наборами информации, представленной в финансовой отчетности. Одинаковое отражение в учете и представление в финансовой отчетности сходных объектов учета и различное отражение различных объектов учета способствует достижению сопоставимости. Последовательное применение организацией учетной политики, требований, изложенных в СФООСГУ, повышает сопоставимость информации, содержащейся в финансовой отчетности. В случае изменений в учетной политике организации, сопоставимость информации в финансовой отчетности достигается за счет дополнительных раскрытий и пояснений.</w:t>
      </w:r>
    </w:p>
    <w:p>
      <w:pPr>
        <w:spacing w:after="200" w:before="200"/>
        <w:jc w:val="center"/>
      </w:pPr>
      <w:r>
        <w:rPr>
          <w:rFonts w:ascii="Arial" w:cs="Arial" w:eastAsia="Arial" w:hAnsi="Arial"/>
          <w:b/>
          <w:bCs/>
          <w:sz w:val="24"/>
          <w:szCs w:val="24"/>
        </w:rPr>
        <w:t xml:space="preserve">§ 6. Проверяемость</w:t>
      </w:r>
    </w:p>
    <w:p>
      <w:pPr>
        <w:spacing w:after="60"/>
        <w:ind w:firstLine="567"/>
        <w:jc w:val="both"/>
      </w:pPr>
      <w:r>
        <w:rPr>
          <w:rFonts w:ascii="Arial" w:cs="Arial" w:eastAsia="Arial" w:hAnsi="Arial"/>
          <w:sz w:val="24"/>
          <w:szCs w:val="24"/>
        </w:rPr>
        <w:t xml:space="preserve">20. Проверяемость - это качество информации, которое помогает заверить пользователей в том, что информация, содержащаяся в финансовой отчетности, достоверно отражает деятельность организации.</w:t>
      </w:r>
    </w:p>
    <w:p>
      <w:pPr>
        <w:spacing w:after="60"/>
        <w:ind w:firstLine="567"/>
        <w:jc w:val="both"/>
      </w:pPr>
      <w:r>
        <w:rPr>
          <w:rFonts w:ascii="Arial" w:cs="Arial" w:eastAsia="Arial" w:hAnsi="Arial"/>
          <w:sz w:val="24"/>
          <w:szCs w:val="24"/>
        </w:rPr>
        <w:t xml:space="preserve">21. Повышение проверяемости информации, содержащейся в финансовой отчетности, способствует повышению уверенности пользователей в ее достоверности.</w:t>
      </w:r>
    </w:p>
    <w:p>
      <w:pPr>
        <w:spacing w:after="60"/>
        <w:ind w:firstLine="567"/>
        <w:jc w:val="both"/>
      </w:pPr>
      <w:r>
        <w:rPr>
          <w:rFonts w:ascii="Arial" w:cs="Arial" w:eastAsia="Arial" w:hAnsi="Arial"/>
          <w:sz w:val="24"/>
          <w:szCs w:val="24"/>
        </w:rPr>
        <w:t xml:space="preserve">22. Информация обладает качественной характеристикой проверяемости, когда различные, знающие и независимые пользователи информации могут достичь общего, но не обязательно полного согласия, о том, что:</w:t>
      </w:r>
    </w:p>
    <w:p>
      <w:pPr>
        <w:spacing w:after="60"/>
        <w:ind w:firstLine="567"/>
        <w:jc w:val="both"/>
      </w:pPr>
      <w:r>
        <w:rPr>
          <w:rFonts w:ascii="Arial" w:cs="Arial" w:eastAsia="Arial" w:hAnsi="Arial"/>
          <w:sz w:val="24"/>
          <w:szCs w:val="24"/>
        </w:rPr>
        <w:t xml:space="preserve">- информация, содержащаяся в финансовой отчетности, представляет деятельность организации, без существенных ошибок или непредвзято; или</w:t>
      </w:r>
    </w:p>
    <w:p>
      <w:pPr>
        <w:spacing w:after="60"/>
        <w:ind w:firstLine="567"/>
        <w:jc w:val="both"/>
      </w:pPr>
      <w:r>
        <w:rPr>
          <w:rFonts w:ascii="Arial" w:cs="Arial" w:eastAsia="Arial" w:hAnsi="Arial"/>
          <w:sz w:val="24"/>
          <w:szCs w:val="24"/>
        </w:rPr>
        <w:t xml:space="preserve">- метод признания, оценки или представления информации, изложенный в СФООСГУ, был применен без существенных ошибок и непредвзято.</w:t>
      </w:r>
    </w:p>
    <w:p>
      <w:pPr>
        <w:spacing w:after="60"/>
        <w:ind w:firstLine="567"/>
        <w:jc w:val="both"/>
      </w:pPr>
      <w:r>
        <w:rPr>
          <w:rFonts w:ascii="Arial" w:cs="Arial" w:eastAsia="Arial" w:hAnsi="Arial"/>
          <w:sz w:val="24"/>
          <w:szCs w:val="24"/>
        </w:rPr>
        <w:t xml:space="preserve">23. Организация при составлении финансовой отчетности, на основании данных бухгалтерского учета, должна осуществить процедуры, подтверждающие достоверность показателей финансовой отчетности. Такими процедурами являются, но не ограничиваются, инвентаризация активов и обязательств, пересчет показателей, выборочная проверка.</w:t>
      </w:r>
    </w:p>
    <w:p>
      <w:pPr>
        <w:spacing w:after="60"/>
        <w:ind w:firstLine="567"/>
        <w:jc w:val="both"/>
      </w:pPr>
      <w:r>
        <w:rPr>
          <w:rFonts w:ascii="Arial" w:cs="Arial" w:eastAsia="Arial" w:hAnsi="Arial"/>
          <w:sz w:val="24"/>
          <w:szCs w:val="24"/>
        </w:rPr>
        <w:t xml:space="preserve">24. Раскрытие информации об учетной политике, предположениях сделанных при оценке объектов бухгалтерского учета и иных событий, в т.ч. диапазон возможных оценок стоимости, иная пояснительная информация, раскрывающая содержание финансовой отчетности необходимы для обеспечения проверяемости информации.</w:t>
      </w:r>
    </w:p>
    <w:p>
      <w:pPr>
        <w:spacing w:after="200" w:before="200"/>
        <w:jc w:val="center"/>
      </w:pPr>
      <w:r>
        <w:rPr>
          <w:rFonts w:ascii="Arial" w:cs="Arial" w:eastAsia="Arial" w:hAnsi="Arial"/>
          <w:b/>
          <w:bCs/>
          <w:sz w:val="24"/>
          <w:szCs w:val="24"/>
        </w:rPr>
        <w:t xml:space="preserve">4. Ограничения на информацию, включенную в финансовую отчетность</w:t>
      </w:r>
    </w:p>
    <w:p>
      <w:pPr>
        <w:spacing w:after="200" w:before="200"/>
        <w:jc w:val="center"/>
      </w:pPr>
      <w:r>
        <w:rPr>
          <w:rFonts w:ascii="Arial" w:cs="Arial" w:eastAsia="Arial" w:hAnsi="Arial"/>
          <w:b/>
          <w:bCs/>
          <w:sz w:val="24"/>
          <w:szCs w:val="24"/>
        </w:rPr>
        <w:t xml:space="preserve">§ 1. Существенность</w:t>
      </w:r>
    </w:p>
    <w:p>
      <w:pPr>
        <w:spacing w:after="60"/>
        <w:ind w:firstLine="567"/>
        <w:jc w:val="both"/>
      </w:pPr>
      <w:r>
        <w:rPr>
          <w:rFonts w:ascii="Arial" w:cs="Arial" w:eastAsia="Arial" w:hAnsi="Arial"/>
          <w:sz w:val="24"/>
          <w:szCs w:val="24"/>
        </w:rPr>
        <w:t xml:space="preserve">25. Информация является существенной, если пропуски или искажение такой информации могут повлиять на выполнение обязанности организации по подотчетности или на принятие решений пользователями на основе финансовой отчетности.</w:t>
      </w:r>
    </w:p>
    <w:p>
      <w:pPr>
        <w:spacing w:after="60"/>
        <w:ind w:firstLine="567"/>
        <w:jc w:val="both"/>
      </w:pPr>
      <w:r>
        <w:rPr>
          <w:rFonts w:ascii="Arial" w:cs="Arial" w:eastAsia="Arial" w:hAnsi="Arial"/>
          <w:sz w:val="24"/>
          <w:szCs w:val="24"/>
        </w:rPr>
        <w:t xml:space="preserve">26. Существенность зависит как от характера, так и от значения показателя отчетности, оцениваемого в конкретных обстоятельствах каждой организации.</w:t>
      </w:r>
    </w:p>
    <w:p>
      <w:pPr>
        <w:spacing w:after="60"/>
        <w:ind w:firstLine="567"/>
        <w:jc w:val="both"/>
      </w:pPr>
      <w:r>
        <w:rPr>
          <w:rFonts w:ascii="Arial" w:cs="Arial" w:eastAsia="Arial" w:hAnsi="Arial"/>
          <w:sz w:val="24"/>
          <w:szCs w:val="24"/>
        </w:rPr>
        <w:t xml:space="preserve">27. При определении является ли информация, в данных обстоятельствах, существенной, необходимо рассмотреть такие вопросы, как характер, законность, изменчивость, последствия прошлых или предполагаемых операций и событий, стороны, участвующие в любых таких сделках, и обстоятельства, которые их порождают.</w:t>
      </w:r>
    </w:p>
    <w:p>
      <w:pPr>
        <w:spacing w:after="60"/>
        <w:ind w:firstLine="567"/>
        <w:jc w:val="both"/>
      </w:pPr>
      <w:r>
        <w:rPr>
          <w:rFonts w:ascii="Arial" w:cs="Arial" w:eastAsia="Arial" w:hAnsi="Arial"/>
          <w:sz w:val="24"/>
          <w:szCs w:val="24"/>
        </w:rPr>
        <w:t xml:space="preserve">28. При разработке СФООСГУ и Методических рекомендаций по их применению необходимо рассматривать существенность последствий применения конкретной учетной политики, методов подготовки или раскрытия конкретного элемента или типа информации. При подготовке финансовой отчетности организации учитывают существенность в соответствии с требованиями СФООСГУ.</w:t>
      </w:r>
    </w:p>
    <w:p>
      <w:pPr>
        <w:spacing w:after="200" w:before="200"/>
        <w:jc w:val="center"/>
      </w:pPr>
      <w:r>
        <w:rPr>
          <w:rFonts w:ascii="Arial" w:cs="Arial" w:eastAsia="Arial" w:hAnsi="Arial"/>
          <w:b/>
          <w:bCs/>
          <w:sz w:val="24"/>
          <w:szCs w:val="24"/>
        </w:rPr>
        <w:t xml:space="preserve">§ 2. Соотношение затрат и выгод</w:t>
      </w:r>
    </w:p>
    <w:p>
      <w:pPr>
        <w:spacing w:after="60"/>
        <w:ind w:firstLine="567"/>
        <w:jc w:val="both"/>
      </w:pPr>
      <w:r>
        <w:rPr>
          <w:rFonts w:ascii="Arial" w:cs="Arial" w:eastAsia="Arial" w:hAnsi="Arial"/>
          <w:sz w:val="24"/>
          <w:szCs w:val="24"/>
        </w:rPr>
        <w:t xml:space="preserve">29. Организации, представляющие финансовую отчетность, несут расходы в связи с представлением финансовой отчетности. Пользователи финансовой отчетности несут расходы на анализ и интерпретацию финансовой отчетности. При отсутствии необходимой информации, получатели услуг, оказываемых государством, и поставщики ресурсов, необходимых для деятельности государства, будут нести расходы по получению необходимой информации.</w:t>
      </w:r>
    </w:p>
    <w:p>
      <w:pPr>
        <w:spacing w:after="60"/>
        <w:ind w:firstLine="567"/>
        <w:jc w:val="both"/>
      </w:pPr>
      <w:r>
        <w:rPr>
          <w:rFonts w:ascii="Arial" w:cs="Arial" w:eastAsia="Arial" w:hAnsi="Arial"/>
          <w:sz w:val="24"/>
          <w:szCs w:val="24"/>
        </w:rPr>
        <w:t xml:space="preserve">30. Применение ограничения соотношения затрат и выгод, включает в себя оценку того, могут ли выгоды от предоставления информации оправдать затраты, понесенные для сбора, обработки и представления информации.</w:t>
      </w:r>
    </w:p>
    <w:p>
      <w:pPr>
        <w:spacing w:after="60"/>
        <w:ind w:firstLine="567"/>
        <w:jc w:val="both"/>
      </w:pPr>
      <w:r>
        <w:rPr>
          <w:rFonts w:ascii="Arial" w:cs="Arial" w:eastAsia="Arial" w:hAnsi="Arial"/>
          <w:sz w:val="24"/>
          <w:szCs w:val="24"/>
        </w:rPr>
        <w:t xml:space="preserve">31. Требования СФООСГУ должны разрабатываться так, чтобы финансовая отчетность удовлетворяла интересы пользователей финансовой отчетности, включая соответствие качественным характеристикам информации, включаемых в финансовую отчетность, с учетом преимуществ от соблюдения требований и связанных с этим расходов.</w:t>
      </w:r>
    </w:p>
    <w:p>
      <w:pPr>
        <w:spacing w:after="200" w:before="200"/>
        <w:jc w:val="center"/>
      </w:pPr>
      <w:r>
        <w:rPr>
          <w:rFonts w:ascii="Arial" w:cs="Arial" w:eastAsia="Arial" w:hAnsi="Arial"/>
          <w:b/>
          <w:bCs/>
          <w:sz w:val="24"/>
          <w:szCs w:val="24"/>
        </w:rPr>
        <w:t xml:space="preserve">§ 3. Баланс между качественными характеристиками</w:t>
      </w:r>
    </w:p>
    <w:p>
      <w:pPr>
        <w:spacing w:after="60"/>
        <w:ind w:firstLine="567"/>
        <w:jc w:val="both"/>
      </w:pPr>
      <w:r>
        <w:rPr>
          <w:rFonts w:ascii="Arial" w:cs="Arial" w:eastAsia="Arial" w:hAnsi="Arial"/>
          <w:sz w:val="24"/>
          <w:szCs w:val="24"/>
        </w:rPr>
        <w:t xml:space="preserve">32. Баланс между качественными характеристиками означает возможность нахождения компромисса между степенью соответствия информации каждой из качественных характеристик в ситуации, когда невозможно добиться полного соответствия информации одновременно всем качественным характеристикам.</w:t>
      </w:r>
    </w:p>
    <w:p>
      <w:pPr>
        <w:spacing w:after="200" w:before="200"/>
        <w:jc w:val="center"/>
      </w:pPr>
      <w:r>
        <w:rPr>
          <w:rFonts w:ascii="Arial" w:cs="Arial" w:eastAsia="Arial" w:hAnsi="Arial"/>
          <w:b/>
          <w:bCs/>
          <w:sz w:val="24"/>
          <w:szCs w:val="24"/>
        </w:rPr>
        <w:t xml:space="preserve">5. Отчитывающаяся организация</w:t>
      </w:r>
    </w:p>
    <w:p>
      <w:pPr>
        <w:spacing w:after="60"/>
        <w:ind w:firstLine="567"/>
        <w:jc w:val="both"/>
      </w:pPr>
      <w:r>
        <w:rPr>
          <w:rFonts w:ascii="Arial" w:cs="Arial" w:eastAsia="Arial" w:hAnsi="Arial"/>
          <w:sz w:val="24"/>
          <w:szCs w:val="24"/>
        </w:rPr>
        <w:t xml:space="preserve">33. Отчитывающаяся организация - это организация, которая в соответствии с требованиями СФООСГУ обязана предоставлять финансовую отчетность пользователям финансовой отчетности. Отчитывающаяся организация выбирается с учетом того, что выгоды от предоставления финансовой отчетности пользователям должны превышать затраты организации на представление финансовой отчетности.</w:t>
      </w:r>
    </w:p>
    <w:p>
      <w:pPr>
        <w:spacing w:after="60"/>
        <w:ind w:firstLine="567"/>
        <w:jc w:val="both"/>
      </w:pPr>
      <w:r>
        <w:rPr>
          <w:rFonts w:ascii="Arial" w:cs="Arial" w:eastAsia="Arial" w:hAnsi="Arial"/>
          <w:sz w:val="24"/>
          <w:szCs w:val="24"/>
        </w:rPr>
        <w:t xml:space="preserve">34. При выборе отчитывающейся организации следует учитывать, что основными чертами отчитывающейся организации является возможность привлекать и/или использовать ресурсы, а также наличие пользователей финансовой отчетности. Также следует учитывать объем активов и обязательств, социальную и экономическую роль организации в обществе. Например, к отчитывающимся организациям относят республиканское правительство, государственные органы, местные органы власти.</w:t>
      </w:r>
    </w:p>
    <w:p>
      <w:pPr>
        <w:spacing w:after="60"/>
        <w:ind w:firstLine="567"/>
        <w:jc w:val="both"/>
      </w:pPr>
      <w:r>
        <w:rPr>
          <w:rFonts w:ascii="Arial" w:cs="Arial" w:eastAsia="Arial" w:hAnsi="Arial"/>
          <w:sz w:val="24"/>
          <w:szCs w:val="24"/>
        </w:rPr>
        <w:t xml:space="preserve">35. Отчитывающаяся организация может включать две или более отдельные организации, которые представляют финансовую отчетность, как если бы они были одной организацией. Такая отчитывающаяся организация называется группой.</w:t>
      </w:r>
    </w:p>
    <w:p>
      <w:pPr>
        <w:spacing w:after="200" w:before="200"/>
        <w:jc w:val="center"/>
      </w:pPr>
      <w:r>
        <w:rPr>
          <w:rFonts w:ascii="Arial" w:cs="Arial" w:eastAsia="Arial" w:hAnsi="Arial"/>
          <w:b/>
          <w:bCs/>
          <w:sz w:val="24"/>
          <w:szCs w:val="24"/>
        </w:rPr>
        <w:t xml:space="preserve">6. Элементы финансовой отчетности</w:t>
      </w:r>
    </w:p>
    <w:p>
      <w:pPr>
        <w:spacing w:after="60"/>
        <w:ind w:firstLine="567"/>
        <w:jc w:val="both"/>
      </w:pPr>
      <w:r>
        <w:rPr>
          <w:rFonts w:ascii="Arial" w:cs="Arial" w:eastAsia="Arial" w:hAnsi="Arial"/>
          <w:sz w:val="24"/>
          <w:szCs w:val="24"/>
        </w:rPr>
        <w:t xml:space="preserve">36. Финансовая отчетность составляется путем группировки финансовых операций и событий, на основании общих экономических признаков в классы, называемые элементами финансовой отчетности.</w:t>
      </w:r>
    </w:p>
    <w:p>
      <w:pPr>
        <w:spacing w:after="60"/>
        <w:ind w:firstLine="567"/>
        <w:jc w:val="both"/>
      </w:pPr>
      <w:r>
        <w:rPr>
          <w:rFonts w:ascii="Arial" w:cs="Arial" w:eastAsia="Arial" w:hAnsi="Arial"/>
          <w:sz w:val="24"/>
          <w:szCs w:val="24"/>
        </w:rPr>
        <w:t xml:space="preserve">37. Элементами финансовой отчетности являются активы, обязательства, доходы, расходы, вклады собственников и выплаты собственникам.</w:t>
      </w:r>
    </w:p>
    <w:p>
      <w:pPr>
        <w:spacing w:after="200" w:before="200"/>
        <w:jc w:val="center"/>
      </w:pPr>
      <w:r>
        <w:rPr>
          <w:rFonts w:ascii="Arial" w:cs="Arial" w:eastAsia="Arial" w:hAnsi="Arial"/>
          <w:b/>
          <w:bCs/>
          <w:sz w:val="24"/>
          <w:szCs w:val="24"/>
        </w:rPr>
        <w:t xml:space="preserve">§ 1. Активы</w:t>
      </w:r>
    </w:p>
    <w:p>
      <w:pPr>
        <w:spacing w:after="60"/>
        <w:ind w:firstLine="567"/>
        <w:jc w:val="both"/>
      </w:pPr>
      <w:r>
        <w:rPr>
          <w:rFonts w:ascii="Arial" w:cs="Arial" w:eastAsia="Arial" w:hAnsi="Arial"/>
          <w:sz w:val="24"/>
          <w:szCs w:val="24"/>
        </w:rPr>
        <w:t xml:space="preserve">38. Актив - ресурс, контролируемый организацией в результате прошлых событий, от которого ожидается поступление будущих экономических выгод или возможности полезного использования.</w:t>
      </w:r>
    </w:p>
    <w:p>
      <w:pPr>
        <w:spacing w:after="60"/>
        <w:ind w:firstLine="567"/>
        <w:jc w:val="both"/>
      </w:pPr>
      <w:r>
        <w:rPr>
          <w:rFonts w:ascii="Arial" w:cs="Arial" w:eastAsia="Arial" w:hAnsi="Arial"/>
          <w:sz w:val="24"/>
          <w:szCs w:val="24"/>
        </w:rPr>
        <w:t xml:space="preserve">39. Возможность полезного использования означает возможность использовать ресурс в процессе предоставления услуг организацией, в соответствии с целями деятельности организации.</w:t>
      </w:r>
    </w:p>
    <w:p>
      <w:pPr>
        <w:spacing w:after="60"/>
        <w:ind w:firstLine="567"/>
        <w:jc w:val="both"/>
      </w:pPr>
      <w:r>
        <w:rPr>
          <w:rFonts w:ascii="Arial" w:cs="Arial" w:eastAsia="Arial" w:hAnsi="Arial"/>
          <w:sz w:val="24"/>
          <w:szCs w:val="24"/>
        </w:rPr>
        <w:t xml:space="preserve">40. Экономические выгоды - это поступление денежных средств или сокращение выбытия денежных средств.</w:t>
      </w:r>
    </w:p>
    <w:p>
      <w:pPr>
        <w:spacing w:after="60"/>
        <w:ind w:firstLine="567"/>
        <w:jc w:val="both"/>
      </w:pPr>
      <w:r>
        <w:rPr>
          <w:rFonts w:ascii="Arial" w:cs="Arial" w:eastAsia="Arial" w:hAnsi="Arial"/>
          <w:sz w:val="24"/>
          <w:szCs w:val="24"/>
        </w:rPr>
        <w:t xml:space="preserve">Приток денежных средств или сокращение оттока денежных средств может быть получено, например, при использовании активов в производстве, при продаже или обмене активов на денежные средства или другие ресурсы.</w:t>
      </w:r>
    </w:p>
    <w:p>
      <w:pPr>
        <w:spacing w:after="60"/>
        <w:ind w:firstLine="567"/>
        <w:jc w:val="both"/>
      </w:pPr>
      <w:r>
        <w:rPr>
          <w:rFonts w:ascii="Arial" w:cs="Arial" w:eastAsia="Arial" w:hAnsi="Arial"/>
          <w:sz w:val="24"/>
          <w:szCs w:val="24"/>
        </w:rPr>
        <w:t xml:space="preserve">41. Активы, используемые для производства товаров и оказания услуг в соответствии с целями деятельности организации, но не генерирующие, непосредственно, чистые поступления денежных средств, несут возможность полезного использования. Активы, используемые для того, чтобы генерировать чистые поступления денежных средств, несут будущие экономические выгоды.</w:t>
      </w:r>
    </w:p>
    <w:p>
      <w:pPr>
        <w:spacing w:after="60"/>
        <w:ind w:firstLine="567"/>
        <w:jc w:val="both"/>
      </w:pPr>
      <w:r>
        <w:rPr>
          <w:rFonts w:ascii="Arial" w:cs="Arial" w:eastAsia="Arial" w:hAnsi="Arial"/>
          <w:sz w:val="24"/>
          <w:szCs w:val="24"/>
        </w:rPr>
        <w:t xml:space="preserve">42. Организация контролирует ресурс, когда она имеет законную возможность использовать ресурс, в соответствии с целями деятельности организации, для получения выгоды от возможности полезного использования или получения экономических выгод, заключенных в ресурсе.</w:t>
      </w:r>
    </w:p>
    <w:p>
      <w:pPr>
        <w:spacing w:after="60"/>
        <w:ind w:firstLine="567"/>
        <w:jc w:val="both"/>
      </w:pPr>
      <w:r>
        <w:rPr>
          <w:rFonts w:ascii="Arial" w:cs="Arial" w:eastAsia="Arial" w:hAnsi="Arial"/>
          <w:sz w:val="24"/>
          <w:szCs w:val="24"/>
        </w:rPr>
        <w:t xml:space="preserve">43. Оценка наличия контроля ресурсов в настоящее время, основывается на оценке следующих признаков контроля:</w:t>
      </w:r>
    </w:p>
    <w:p>
      <w:pPr>
        <w:spacing w:after="60"/>
        <w:ind w:firstLine="567"/>
        <w:jc w:val="both"/>
      </w:pPr>
      <w:r>
        <w:rPr>
          <w:rFonts w:ascii="Arial" w:cs="Arial" w:eastAsia="Arial" w:hAnsi="Arial"/>
          <w:sz w:val="24"/>
          <w:szCs w:val="24"/>
        </w:rPr>
        <w:t xml:space="preserve">- законное владение;</w:t>
      </w:r>
    </w:p>
    <w:p>
      <w:pPr>
        <w:spacing w:after="60"/>
        <w:ind w:firstLine="567"/>
        <w:jc w:val="both"/>
      </w:pPr>
      <w:r>
        <w:rPr>
          <w:rFonts w:ascii="Arial" w:cs="Arial" w:eastAsia="Arial" w:hAnsi="Arial"/>
          <w:sz w:val="24"/>
          <w:szCs w:val="24"/>
        </w:rPr>
        <w:t xml:space="preserve">- возможность запретить, или ограничить доступ к ресурсу;</w:t>
      </w:r>
    </w:p>
    <w:p>
      <w:pPr>
        <w:spacing w:after="60"/>
        <w:ind w:firstLine="567"/>
        <w:jc w:val="both"/>
      </w:pPr>
      <w:r>
        <w:rPr>
          <w:rFonts w:ascii="Arial" w:cs="Arial" w:eastAsia="Arial" w:hAnsi="Arial"/>
          <w:sz w:val="24"/>
          <w:szCs w:val="24"/>
        </w:rPr>
        <w:t xml:space="preserve">- наличие средств для обеспечения использования ресурса для достижения целей организации;</w:t>
      </w:r>
    </w:p>
    <w:p>
      <w:pPr>
        <w:spacing w:after="60"/>
        <w:ind w:firstLine="567"/>
        <w:jc w:val="both"/>
      </w:pPr>
      <w:r>
        <w:rPr>
          <w:rFonts w:ascii="Arial" w:cs="Arial" w:eastAsia="Arial" w:hAnsi="Arial"/>
          <w:sz w:val="24"/>
          <w:szCs w:val="24"/>
        </w:rPr>
        <w:t xml:space="preserve">- существование реально осуществимой возможности полезного использования ресурса или способность получать экономические выгоды, вытекающие из ресурса.</w:t>
      </w:r>
    </w:p>
    <w:p>
      <w:pPr>
        <w:spacing w:after="60"/>
        <w:ind w:firstLine="567"/>
        <w:jc w:val="both"/>
      </w:pPr>
      <w:r>
        <w:rPr>
          <w:rFonts w:ascii="Arial" w:cs="Arial" w:eastAsia="Arial" w:hAnsi="Arial"/>
          <w:sz w:val="24"/>
          <w:szCs w:val="24"/>
        </w:rPr>
        <w:t xml:space="preserve">44. Прошлые события, в результате которых организация в настоящее время контролирует ресурс, включают возмездные и безвозмездные операции, властные полномочия, права, установленные законом и другие события.</w:t>
      </w:r>
    </w:p>
    <w:p>
      <w:pPr>
        <w:spacing w:after="200" w:before="200"/>
        <w:jc w:val="center"/>
      </w:pPr>
      <w:r>
        <w:rPr>
          <w:rFonts w:ascii="Arial" w:cs="Arial" w:eastAsia="Arial" w:hAnsi="Arial"/>
          <w:b/>
          <w:bCs/>
          <w:sz w:val="24"/>
          <w:szCs w:val="24"/>
        </w:rPr>
        <w:t xml:space="preserve">§ 2. Обязательства</w:t>
      </w:r>
    </w:p>
    <w:p>
      <w:pPr>
        <w:spacing w:after="60"/>
        <w:ind w:firstLine="567"/>
        <w:jc w:val="both"/>
      </w:pPr>
      <w:r>
        <w:rPr>
          <w:rFonts w:ascii="Arial" w:cs="Arial" w:eastAsia="Arial" w:hAnsi="Arial"/>
          <w:sz w:val="24"/>
          <w:szCs w:val="24"/>
        </w:rPr>
        <w:t xml:space="preserve">45. Обязательство - это существующая обязанность организации перед другими сторонами, возникшая в результате прошлого события и приводящая к оттоку ресурсов.</w:t>
      </w:r>
    </w:p>
    <w:p>
      <w:pPr>
        <w:spacing w:after="60"/>
        <w:ind w:firstLine="567"/>
        <w:jc w:val="both"/>
      </w:pPr>
      <w:r>
        <w:rPr>
          <w:rFonts w:ascii="Arial" w:cs="Arial" w:eastAsia="Arial" w:hAnsi="Arial"/>
          <w:sz w:val="24"/>
          <w:szCs w:val="24"/>
        </w:rPr>
        <w:t xml:space="preserve">46. Существующая обязанность - это обязанность, которая обязательна для исполнения и, невозможно избежать выбытия ресурсов в связи с исполнением этой обязанности. Существующая обязанность может возникать на основании закона, соглашения сторон (юридическая обязанность) или иным образом (обязанности, не имеющие обязательной юридической силы), но так, что у организации практически не существует возможности уклониться от исполнения обязанности.</w:t>
      </w:r>
    </w:p>
    <w:p>
      <w:pPr>
        <w:spacing w:after="60"/>
        <w:ind w:firstLine="567"/>
        <w:jc w:val="both"/>
      </w:pPr>
      <w:r>
        <w:rPr>
          <w:rFonts w:ascii="Arial" w:cs="Arial" w:eastAsia="Arial" w:hAnsi="Arial"/>
          <w:sz w:val="24"/>
          <w:szCs w:val="24"/>
        </w:rPr>
        <w:t xml:space="preserve">47. Чтобы возникло обязательство, обязанность должна быть перед внешней стороной, которая не обязательно должна быть точно идентифицирована. Организация не может иметь обязанность перед собой, даже если она публично сообщила о намерении вести себя определенным образом.</w:t>
      </w:r>
    </w:p>
    <w:p>
      <w:pPr>
        <w:spacing w:after="60"/>
        <w:ind w:firstLine="567"/>
        <w:jc w:val="both"/>
      </w:pPr>
      <w:r>
        <w:rPr>
          <w:rFonts w:ascii="Arial" w:cs="Arial" w:eastAsia="Arial" w:hAnsi="Arial"/>
          <w:sz w:val="24"/>
          <w:szCs w:val="24"/>
        </w:rPr>
        <w:t xml:space="preserve">48. Исполнение юридических обязанностей обеспечивается законом. Обязанности, не имеющие обязательной юридической силы, отличаются от юридических обязанностей тем, что сторона, перед которой существует обязанность, не может принимать законные (или эквивалентные) меры для принудительного урегулирования.</w:t>
      </w:r>
    </w:p>
    <w:p>
      <w:pPr>
        <w:spacing w:after="60"/>
        <w:ind w:firstLine="567"/>
        <w:jc w:val="both"/>
      </w:pPr>
      <w:r>
        <w:rPr>
          <w:rFonts w:ascii="Arial" w:cs="Arial" w:eastAsia="Arial" w:hAnsi="Arial"/>
          <w:sz w:val="24"/>
          <w:szCs w:val="24"/>
        </w:rPr>
        <w:t xml:space="preserve">49. Обязанности, не имеющие обязательной юридической силы, которые приводят к возникновению обязательств, должны иметь все следующие характеристики:</w:t>
      </w:r>
    </w:p>
    <w:p>
      <w:pPr>
        <w:spacing w:after="60"/>
        <w:ind w:firstLine="567"/>
        <w:jc w:val="both"/>
      </w:pPr>
      <w:r>
        <w:rPr>
          <w:rFonts w:ascii="Arial" w:cs="Arial" w:eastAsia="Arial" w:hAnsi="Arial"/>
          <w:sz w:val="24"/>
          <w:szCs w:val="24"/>
        </w:rPr>
        <w:t xml:space="preserve">- организация продемонстрировала другим сторонам, что она примет некоторые обязанности, путем сложившихся примеров из прошлой практики, публикации намерений или достаточно конкретному текущему заявлению о принятии определенных обязанностей;</w:t>
      </w:r>
    </w:p>
    <w:p>
      <w:pPr>
        <w:spacing w:after="60"/>
        <w:ind w:firstLine="567"/>
        <w:jc w:val="both"/>
      </w:pPr>
      <w:r>
        <w:rPr>
          <w:rFonts w:ascii="Arial" w:cs="Arial" w:eastAsia="Arial" w:hAnsi="Arial"/>
          <w:sz w:val="24"/>
          <w:szCs w:val="24"/>
        </w:rPr>
        <w:t xml:space="preserve">- в результате такой демонстрации, организация создала обоснованное ожидание со стороны других сторон, что она выполнит принятые обязанности; и</w:t>
      </w:r>
    </w:p>
    <w:p>
      <w:pPr>
        <w:spacing w:after="60"/>
        <w:ind w:firstLine="567"/>
        <w:jc w:val="both"/>
      </w:pPr>
      <w:r>
        <w:rPr>
          <w:rFonts w:ascii="Arial" w:cs="Arial" w:eastAsia="Arial" w:hAnsi="Arial"/>
          <w:sz w:val="24"/>
          <w:szCs w:val="24"/>
        </w:rPr>
        <w:t xml:space="preserve">- у организации практически не существует возможности, избежать урегулирования обязанности, иным способом кроме выбытия ресурсов.</w:t>
      </w:r>
    </w:p>
    <w:p>
      <w:pPr>
        <w:spacing w:after="200" w:before="200"/>
        <w:jc w:val="center"/>
      </w:pPr>
      <w:r>
        <w:rPr>
          <w:rFonts w:ascii="Arial" w:cs="Arial" w:eastAsia="Arial" w:hAnsi="Arial"/>
          <w:b/>
          <w:bCs/>
          <w:sz w:val="24"/>
          <w:szCs w:val="24"/>
        </w:rPr>
        <w:t xml:space="preserve">§ 3. Чистые активы</w:t>
      </w:r>
    </w:p>
    <w:p>
      <w:pPr>
        <w:spacing w:after="60"/>
        <w:ind w:firstLine="567"/>
        <w:jc w:val="both"/>
      </w:pPr>
      <w:r>
        <w:rPr>
          <w:rFonts w:ascii="Arial" w:cs="Arial" w:eastAsia="Arial" w:hAnsi="Arial"/>
          <w:sz w:val="24"/>
          <w:szCs w:val="24"/>
        </w:rPr>
        <w:t xml:space="preserve">50. Чистые активы - это разница между активами и обязательствами организации, признанными в Отчете о финансовом положении.</w:t>
      </w:r>
    </w:p>
    <w:p>
      <w:pPr>
        <w:spacing w:after="200" w:before="200"/>
        <w:jc w:val="center"/>
      </w:pPr>
      <w:r>
        <w:rPr>
          <w:rFonts w:ascii="Arial" w:cs="Arial" w:eastAsia="Arial" w:hAnsi="Arial"/>
          <w:b/>
          <w:bCs/>
          <w:sz w:val="24"/>
          <w:szCs w:val="24"/>
        </w:rPr>
        <w:t xml:space="preserve">§ 4. Доходы и расходы</w:t>
      </w:r>
    </w:p>
    <w:p>
      <w:pPr>
        <w:spacing w:after="60"/>
        <w:ind w:firstLine="567"/>
        <w:jc w:val="both"/>
      </w:pPr>
      <w:r>
        <w:rPr>
          <w:rFonts w:ascii="Arial" w:cs="Arial" w:eastAsia="Arial" w:hAnsi="Arial"/>
          <w:sz w:val="24"/>
          <w:szCs w:val="24"/>
        </w:rPr>
        <w:t xml:space="preserve">51. Доходы - это увеличение чистых активов организации, за исключением увеличения, связанного со взносами собственников.</w:t>
      </w:r>
    </w:p>
    <w:p>
      <w:pPr>
        <w:spacing w:after="60"/>
        <w:ind w:firstLine="567"/>
        <w:jc w:val="both"/>
      </w:pPr>
      <w:r>
        <w:rPr>
          <w:rFonts w:ascii="Arial" w:cs="Arial" w:eastAsia="Arial" w:hAnsi="Arial"/>
          <w:sz w:val="24"/>
          <w:szCs w:val="24"/>
        </w:rPr>
        <w:t xml:space="preserve">52. Расходы - это уменьшение чистых активов организации, за исключением уменьшения, возникающего в результате выплат в пользу собственников.</w:t>
      </w:r>
    </w:p>
    <w:p>
      <w:pPr>
        <w:spacing w:after="200" w:before="200"/>
        <w:jc w:val="center"/>
      </w:pPr>
      <w:r>
        <w:rPr>
          <w:rFonts w:ascii="Arial" w:cs="Arial" w:eastAsia="Arial" w:hAnsi="Arial"/>
          <w:b/>
          <w:bCs/>
          <w:sz w:val="24"/>
          <w:szCs w:val="24"/>
        </w:rPr>
        <w:t xml:space="preserve">§ 5. Профицит или дефицит за период</w:t>
      </w:r>
    </w:p>
    <w:p>
      <w:pPr>
        <w:spacing w:after="60"/>
        <w:ind w:firstLine="567"/>
        <w:jc w:val="both"/>
      </w:pPr>
      <w:r>
        <w:rPr>
          <w:rFonts w:ascii="Arial" w:cs="Arial" w:eastAsia="Arial" w:hAnsi="Arial"/>
          <w:sz w:val="24"/>
          <w:szCs w:val="24"/>
        </w:rPr>
        <w:t xml:space="preserve">53. Профицит или дефицит организации за период - это разница между доходами и расходами организации за период, отраженными в Отчете о финансовых результатах.</w:t>
      </w:r>
    </w:p>
    <w:p>
      <w:pPr>
        <w:spacing w:after="200" w:before="200"/>
        <w:jc w:val="center"/>
      </w:pPr>
      <w:r>
        <w:rPr>
          <w:rFonts w:ascii="Arial" w:cs="Arial" w:eastAsia="Arial" w:hAnsi="Arial"/>
          <w:b/>
          <w:bCs/>
          <w:sz w:val="24"/>
          <w:szCs w:val="24"/>
        </w:rPr>
        <w:t xml:space="preserve">§ 6. Взносы собственников и выплаты в пользу собственников</w:t>
      </w:r>
    </w:p>
    <w:p>
      <w:pPr>
        <w:spacing w:after="60"/>
        <w:ind w:firstLine="567"/>
        <w:jc w:val="both"/>
      </w:pPr>
      <w:r>
        <w:rPr>
          <w:rFonts w:ascii="Arial" w:cs="Arial" w:eastAsia="Arial" w:hAnsi="Arial"/>
          <w:sz w:val="24"/>
          <w:szCs w:val="24"/>
        </w:rPr>
        <w:t xml:space="preserve">54. Взносы собственников - это приток ресурсов в организацию, предоставляемых собственниками организации, приводящий к образованию или увеличению доли собственников в чистых активах организации.</w:t>
      </w:r>
    </w:p>
    <w:p>
      <w:pPr>
        <w:spacing w:after="60"/>
        <w:ind w:firstLine="567"/>
        <w:jc w:val="both"/>
      </w:pPr>
      <w:r>
        <w:rPr>
          <w:rFonts w:ascii="Arial" w:cs="Arial" w:eastAsia="Arial" w:hAnsi="Arial"/>
          <w:sz w:val="24"/>
          <w:szCs w:val="24"/>
        </w:rPr>
        <w:t xml:space="preserve">55. Выплаты в пользу собственников - это отток ресурсов из организации, возвращаемых собственникам организации, приводящий к уменьшению доли собственников в чистых активах организации.</w:t>
      </w:r>
    </w:p>
    <w:p>
      <w:pPr>
        <w:spacing w:after="200" w:before="200"/>
        <w:jc w:val="center"/>
      </w:pPr>
      <w:r>
        <w:rPr>
          <w:rFonts w:ascii="Arial" w:cs="Arial" w:eastAsia="Arial" w:hAnsi="Arial"/>
          <w:b/>
          <w:bCs/>
          <w:sz w:val="24"/>
          <w:szCs w:val="24"/>
        </w:rPr>
        <w:t xml:space="preserve">7. Признание в финансовой отчетности</w:t>
      </w:r>
    </w:p>
    <w:p>
      <w:pPr>
        <w:spacing w:after="60"/>
        <w:ind w:firstLine="567"/>
        <w:jc w:val="both"/>
      </w:pPr>
      <w:r>
        <w:rPr>
          <w:rFonts w:ascii="Arial" w:cs="Arial" w:eastAsia="Arial" w:hAnsi="Arial"/>
          <w:sz w:val="24"/>
          <w:szCs w:val="24"/>
        </w:rPr>
        <w:t xml:space="preserve">56. Признание - это включение в бухгалтерский учет и финансовую отчетность стоимости и иных характеристик, соответствующих объекту бухгалтерского учета, который удовлетворяет определению элемента, и может быть измерен так, что достигаются качественные характеристики и учитываются ограничения на информацию, включенную в финансовую отчетность.</w:t>
      </w:r>
    </w:p>
    <w:p>
      <w:pPr>
        <w:spacing w:after="60"/>
        <w:ind w:firstLine="567"/>
        <w:jc w:val="both"/>
      </w:pPr>
      <w:r>
        <w:rPr>
          <w:rFonts w:ascii="Arial" w:cs="Arial" w:eastAsia="Arial" w:hAnsi="Arial"/>
          <w:sz w:val="24"/>
          <w:szCs w:val="24"/>
        </w:rPr>
        <w:t xml:space="preserve">57. Критериями признания объекта находящегося у организации в качестве объекта бухгалтерского учета являются:</w:t>
      </w:r>
    </w:p>
    <w:p>
      <w:pPr>
        <w:spacing w:after="60"/>
        <w:ind w:firstLine="567"/>
        <w:jc w:val="both"/>
      </w:pPr>
      <w:r>
        <w:rPr>
          <w:rFonts w:ascii="Arial" w:cs="Arial" w:eastAsia="Arial" w:hAnsi="Arial"/>
          <w:sz w:val="24"/>
          <w:szCs w:val="24"/>
        </w:rPr>
        <w:t xml:space="preserve">- соответствие объекта определению объекта бухгалтерского учета изложенному в СФООСГУ;</w:t>
      </w:r>
    </w:p>
    <w:p>
      <w:pPr>
        <w:spacing w:after="60"/>
        <w:ind w:firstLine="567"/>
        <w:jc w:val="both"/>
      </w:pPr>
      <w:r>
        <w:rPr>
          <w:rFonts w:ascii="Arial" w:cs="Arial" w:eastAsia="Arial" w:hAnsi="Arial"/>
          <w:sz w:val="24"/>
          <w:szCs w:val="24"/>
        </w:rPr>
        <w:t xml:space="preserve">- соответствие объекта бухгалтерского учета определению элемента; и</w:t>
      </w:r>
    </w:p>
    <w:p>
      <w:pPr>
        <w:spacing w:after="60"/>
        <w:ind w:firstLine="567"/>
        <w:jc w:val="both"/>
      </w:pPr>
      <w:r>
        <w:rPr>
          <w:rFonts w:ascii="Arial" w:cs="Arial" w:eastAsia="Arial" w:hAnsi="Arial"/>
          <w:sz w:val="24"/>
          <w:szCs w:val="24"/>
        </w:rPr>
        <w:t xml:space="preserve">- возможность оценить стоимость объекта бухгалтерского учета так, что достигаются качественные характеристики и учитываются ограничения на информацию в финансовую отчетность.</w:t>
      </w:r>
    </w:p>
    <w:p>
      <w:pPr>
        <w:spacing w:after="60"/>
        <w:ind w:firstLine="567"/>
        <w:jc w:val="both"/>
      </w:pPr>
      <w:r>
        <w:rPr>
          <w:rFonts w:ascii="Arial" w:cs="Arial" w:eastAsia="Arial" w:hAnsi="Arial"/>
          <w:sz w:val="24"/>
          <w:szCs w:val="24"/>
        </w:rPr>
        <w:t xml:space="preserve">58. Все объекты, удовлетворяющие критериям признания объекта бухгалтерского учета, признаются в финансовой отчетности. Раскрытие информации об объекте бухгалтерского учета в примечаниях, пояснениях или другим образом, без признания в финансовой отчетности не является признанием объекта бухгалтерского учета.</w:t>
      </w:r>
    </w:p>
    <w:p>
      <w:pPr>
        <w:spacing w:after="60"/>
        <w:ind w:firstLine="567"/>
        <w:jc w:val="both"/>
      </w:pPr>
      <w:r>
        <w:rPr>
          <w:rFonts w:ascii="Arial" w:cs="Arial" w:eastAsia="Arial" w:hAnsi="Arial"/>
          <w:sz w:val="24"/>
          <w:szCs w:val="24"/>
        </w:rPr>
        <w:t xml:space="preserve">59. Неопределенности, возникающие при оценке соответствия объекта бухгалтерского учета определению элемента и оценке стоимости объекта, оцениваются на каждую отчетную дату.</w:t>
      </w:r>
    </w:p>
    <w:p>
      <w:pPr>
        <w:spacing w:after="60"/>
        <w:ind w:firstLine="567"/>
        <w:jc w:val="both"/>
      </w:pPr>
      <w:r>
        <w:rPr>
          <w:rFonts w:ascii="Arial" w:cs="Arial" w:eastAsia="Arial" w:hAnsi="Arial"/>
          <w:sz w:val="24"/>
          <w:szCs w:val="24"/>
        </w:rPr>
        <w:t xml:space="preserve">Оценка стоимости объекта бухгалтерского учета проводится на основании методов, изложенных в настоящих Концептуальных основах.</w:t>
      </w:r>
    </w:p>
    <w:p>
      <w:pPr>
        <w:spacing w:after="60"/>
        <w:ind w:firstLine="567"/>
        <w:jc w:val="both"/>
      </w:pPr>
      <w:r>
        <w:rPr>
          <w:rFonts w:ascii="Arial" w:cs="Arial" w:eastAsia="Arial" w:hAnsi="Arial"/>
          <w:sz w:val="24"/>
          <w:szCs w:val="24"/>
        </w:rPr>
        <w:t xml:space="preserve">60. Использование оценок стоимости объектов бухгалтерского учета является неотъемлемой частью метода начисления. Уместность и достоверное представление оценки достигается за счет рассмотрения всех возможных результатов (диапазона результатов) оценки и раскрытия информации о методах оценки и предположениях, сделанных при оценке.</w:t>
      </w:r>
    </w:p>
    <w:p>
      <w:pPr>
        <w:spacing w:after="60"/>
        <w:ind w:firstLine="567"/>
        <w:jc w:val="both"/>
      </w:pPr>
      <w:r>
        <w:rPr>
          <w:rFonts w:ascii="Arial" w:cs="Arial" w:eastAsia="Arial" w:hAnsi="Arial"/>
          <w:sz w:val="24"/>
          <w:szCs w:val="24"/>
        </w:rPr>
        <w:t xml:space="preserve">61. Раскрытие информации об объектах, которые частично удовлетворяют определению элемента или которые не могут быть оценены с соблюдением качественных характеристик информации, включаемой в финансовую отчетность уместно, когда такая информация может повлиять на чистые активы организации.</w:t>
      </w:r>
    </w:p>
    <w:p>
      <w:pPr>
        <w:spacing w:after="60"/>
        <w:ind w:firstLine="567"/>
        <w:jc w:val="both"/>
      </w:pPr>
      <w:r>
        <w:rPr>
          <w:rFonts w:ascii="Arial" w:cs="Arial" w:eastAsia="Arial" w:hAnsi="Arial"/>
          <w:sz w:val="24"/>
          <w:szCs w:val="24"/>
        </w:rPr>
        <w:t xml:space="preserve">62. Прекращение признания - это процесс оценки, произошедших с предыдущей отчетной даты изменений объекта, на предмет удовлетворения критериям признания, и подтверждающий необходимость исключения объекта из бухгалтерского учета и финансовой отчетности.</w:t>
      </w:r>
    </w:p>
    <w:p>
      <w:pPr>
        <w:spacing w:after="200" w:before="200"/>
        <w:jc w:val="center"/>
      </w:pPr>
      <w:r>
        <w:rPr>
          <w:rFonts w:ascii="Arial" w:cs="Arial" w:eastAsia="Arial" w:hAnsi="Arial"/>
          <w:b/>
          <w:bCs/>
          <w:sz w:val="24"/>
          <w:szCs w:val="24"/>
        </w:rPr>
        <w:t xml:space="preserve">8. Оценка активов и обязательств в финансовой отчетности</w:t>
      </w:r>
    </w:p>
    <w:p>
      <w:pPr>
        <w:spacing w:after="60"/>
        <w:ind w:firstLine="567"/>
        <w:jc w:val="both"/>
      </w:pPr>
      <w:r>
        <w:rPr>
          <w:rFonts w:ascii="Arial" w:cs="Arial" w:eastAsia="Arial" w:hAnsi="Arial"/>
          <w:sz w:val="24"/>
          <w:szCs w:val="24"/>
        </w:rPr>
        <w:t xml:space="preserve">63. Оценка стоимости активов и обязательств в финансовой отчетности проводится на основании того метода оценки стоимости, который наилучшим образом способствует достижению целей финансовой отчетности, наиболее справедливо отражает стоимость услуг, операционные и финансовые возможности организации и наилучшим образом обеспечивает соответствие качественным характеристикам информации, включаемой в финансовую отчетность.</w:t>
      </w:r>
    </w:p>
    <w:p>
      <w:pPr>
        <w:spacing w:after="60"/>
        <w:ind w:firstLine="567"/>
        <w:jc w:val="both"/>
      </w:pPr>
      <w:r>
        <w:rPr>
          <w:rFonts w:ascii="Arial" w:cs="Arial" w:eastAsia="Arial" w:hAnsi="Arial"/>
          <w:sz w:val="24"/>
          <w:szCs w:val="24"/>
        </w:rPr>
        <w:t xml:space="preserve">64. При выборе метода оценки стоимости, организация должна учитывать соответствие результата применения метода оценки качественным характеристикам информации, включаемой в финансовую отчетность, с учетом ограничений на информацию.</w:t>
      </w:r>
    </w:p>
    <w:p>
      <w:pPr>
        <w:spacing w:after="60"/>
        <w:ind w:firstLine="567"/>
        <w:jc w:val="both"/>
      </w:pPr>
      <w:r>
        <w:rPr>
          <w:rFonts w:ascii="Arial" w:cs="Arial" w:eastAsia="Arial" w:hAnsi="Arial"/>
          <w:sz w:val="24"/>
          <w:szCs w:val="24"/>
        </w:rPr>
        <w:t xml:space="preserve">65. Невозможно определить единый метод оценки стоимости, который наилучшим образом соответствует цели финансовой отчетности на уровне Концептуальных основ. Методы оценки стоимости активов и обязательств могут быть основаны на исторической или текущей стоимости, стоимости при поступлении или стоимости при выбытии.</w:t>
      </w:r>
    </w:p>
    <w:p>
      <w:pPr>
        <w:spacing w:after="60"/>
        <w:ind w:firstLine="567"/>
        <w:jc w:val="both"/>
      </w:pPr>
      <w:r>
        <w:rPr>
          <w:rFonts w:ascii="Arial" w:cs="Arial" w:eastAsia="Arial" w:hAnsi="Arial"/>
          <w:sz w:val="24"/>
          <w:szCs w:val="24"/>
        </w:rPr>
        <w:t xml:space="preserve">Стоимость при поступлении, для активов, отражает стоимость их приобретения. Например, историческая стоимость и стоимость замещения - это стоимость при поступлении. Стоимость при выбытии, для активов, отражает экономические выгоды от продажи активов. Стоимость при выбытии также отражает сумму, которая будет получена от использования актива.</w:t>
      </w:r>
    </w:p>
    <w:p>
      <w:pPr>
        <w:spacing w:after="60"/>
        <w:ind w:firstLine="567"/>
        <w:jc w:val="both"/>
      </w:pPr>
      <w:r>
        <w:rPr>
          <w:rFonts w:ascii="Arial" w:cs="Arial" w:eastAsia="Arial" w:hAnsi="Arial"/>
          <w:sz w:val="24"/>
          <w:szCs w:val="24"/>
        </w:rPr>
        <w:t xml:space="preserve">Стоимость при поступлении, для обязательств, относится к операции, по которой организация приняла обязанность, или сумме, за которую организация согласится принять обязательство. Стоимость при выбытии, для обязательств, отражает сумму, необходимую для выполнения организацией обязанности или сумму, необходимую для освобождения организации от обязанности.</w:t>
      </w:r>
    </w:p>
    <w:p>
      <w:pPr>
        <w:spacing w:after="60"/>
        <w:ind w:firstLine="567"/>
        <w:jc w:val="both"/>
      </w:pPr>
      <w:r>
        <w:rPr>
          <w:rFonts w:ascii="Arial" w:cs="Arial" w:eastAsia="Arial" w:hAnsi="Arial"/>
          <w:sz w:val="24"/>
          <w:szCs w:val="24"/>
        </w:rPr>
        <w:t xml:space="preserve">Методы оценки могут использовать рыночную информацию о стоимости. Информация, полученная на открытом, активном и организованном рынке, вероятно, дает более достоверную оценку рыночной стоимости.</w:t>
      </w:r>
    </w:p>
    <w:p>
      <w:pPr>
        <w:spacing w:after="60"/>
        <w:ind w:firstLine="567"/>
        <w:jc w:val="both"/>
      </w:pPr>
      <w:r>
        <w:rPr>
          <w:rFonts w:ascii="Arial" w:cs="Arial" w:eastAsia="Arial" w:hAnsi="Arial"/>
          <w:sz w:val="24"/>
          <w:szCs w:val="24"/>
        </w:rPr>
        <w:t xml:space="preserve">66. Методами оценки стоимости активов в финансовой отчетности являются:</w:t>
      </w:r>
    </w:p>
    <w:p>
      <w:pPr>
        <w:spacing w:after="60"/>
        <w:ind w:firstLine="567"/>
        <w:jc w:val="both"/>
      </w:pPr>
      <w:r>
        <w:rPr>
          <w:rFonts w:ascii="Arial" w:cs="Arial" w:eastAsia="Arial" w:hAnsi="Arial"/>
          <w:sz w:val="24"/>
          <w:szCs w:val="24"/>
        </w:rPr>
        <w:t xml:space="preserve">- метод исторической стоимости актива;</w:t>
      </w:r>
    </w:p>
    <w:p>
      <w:pPr>
        <w:spacing w:after="60"/>
        <w:ind w:firstLine="567"/>
        <w:jc w:val="both"/>
      </w:pPr>
      <w:r>
        <w:rPr>
          <w:rFonts w:ascii="Arial" w:cs="Arial" w:eastAsia="Arial" w:hAnsi="Arial"/>
          <w:sz w:val="24"/>
          <w:szCs w:val="24"/>
        </w:rPr>
        <w:t xml:space="preserve">- методы оценки текущей стоимости актива;</w:t>
      </w:r>
    </w:p>
    <w:p>
      <w:pPr>
        <w:spacing w:after="60"/>
        <w:ind w:firstLine="567"/>
        <w:jc w:val="both"/>
      </w:pPr>
      <w:r>
        <w:rPr>
          <w:rFonts w:ascii="Arial" w:cs="Arial" w:eastAsia="Arial" w:hAnsi="Arial"/>
          <w:sz w:val="24"/>
          <w:szCs w:val="24"/>
        </w:rPr>
        <w:t xml:space="preserve">- метод рыночной стоимости актива;</w:t>
      </w:r>
    </w:p>
    <w:p>
      <w:pPr>
        <w:spacing w:after="60"/>
        <w:ind w:firstLine="567"/>
        <w:jc w:val="both"/>
      </w:pPr>
      <w:r>
        <w:rPr>
          <w:rFonts w:ascii="Arial" w:cs="Arial" w:eastAsia="Arial" w:hAnsi="Arial"/>
          <w:sz w:val="24"/>
          <w:szCs w:val="24"/>
        </w:rPr>
        <w:t xml:space="preserve">- метод стоимости замещения актива;</w:t>
      </w:r>
    </w:p>
    <w:p>
      <w:pPr>
        <w:spacing w:after="60"/>
        <w:ind w:firstLine="567"/>
        <w:jc w:val="both"/>
      </w:pPr>
      <w:r>
        <w:rPr>
          <w:rFonts w:ascii="Arial" w:cs="Arial" w:eastAsia="Arial" w:hAnsi="Arial"/>
          <w:sz w:val="24"/>
          <w:szCs w:val="24"/>
        </w:rPr>
        <w:t xml:space="preserve">- метод чистой цены продажи актива;</w:t>
      </w:r>
    </w:p>
    <w:p>
      <w:pPr>
        <w:spacing w:after="60"/>
        <w:ind w:firstLine="567"/>
        <w:jc w:val="both"/>
      </w:pPr>
      <w:r>
        <w:rPr>
          <w:rFonts w:ascii="Arial" w:cs="Arial" w:eastAsia="Arial" w:hAnsi="Arial"/>
          <w:sz w:val="24"/>
          <w:szCs w:val="24"/>
        </w:rPr>
        <w:t xml:space="preserve">- метод ценности использования актива.</w:t>
      </w:r>
    </w:p>
    <w:p>
      <w:pPr>
        <w:spacing w:after="60"/>
        <w:ind w:firstLine="567"/>
        <w:jc w:val="both"/>
      </w:pPr>
      <w:r>
        <w:rPr>
          <w:rFonts w:ascii="Arial" w:cs="Arial" w:eastAsia="Arial" w:hAnsi="Arial"/>
          <w:sz w:val="24"/>
          <w:szCs w:val="24"/>
        </w:rPr>
        <w:t xml:space="preserve">67. Методами оценки стоимости обязательств в финансовой отчетности являются:</w:t>
      </w:r>
    </w:p>
    <w:p>
      <w:pPr>
        <w:spacing w:after="60"/>
        <w:ind w:firstLine="567"/>
        <w:jc w:val="both"/>
      </w:pPr>
      <w:r>
        <w:rPr>
          <w:rFonts w:ascii="Arial" w:cs="Arial" w:eastAsia="Arial" w:hAnsi="Arial"/>
          <w:sz w:val="24"/>
          <w:szCs w:val="24"/>
        </w:rPr>
        <w:t xml:space="preserve">- метод исторической стоимости обязательства;</w:t>
      </w:r>
    </w:p>
    <w:p>
      <w:pPr>
        <w:spacing w:after="60"/>
        <w:ind w:firstLine="567"/>
        <w:jc w:val="both"/>
      </w:pPr>
      <w:r>
        <w:rPr>
          <w:rFonts w:ascii="Arial" w:cs="Arial" w:eastAsia="Arial" w:hAnsi="Arial"/>
          <w:sz w:val="24"/>
          <w:szCs w:val="24"/>
        </w:rPr>
        <w:t xml:space="preserve">- методы оценки текущей стоимости обязательства;</w:t>
      </w:r>
    </w:p>
    <w:p>
      <w:pPr>
        <w:spacing w:after="60"/>
        <w:ind w:firstLine="567"/>
        <w:jc w:val="both"/>
      </w:pPr>
      <w:r>
        <w:rPr>
          <w:rFonts w:ascii="Arial" w:cs="Arial" w:eastAsia="Arial" w:hAnsi="Arial"/>
          <w:sz w:val="24"/>
          <w:szCs w:val="24"/>
        </w:rPr>
        <w:t xml:space="preserve">- метод стоимости исполнения обязательства;</w:t>
      </w:r>
    </w:p>
    <w:p>
      <w:pPr>
        <w:spacing w:after="60"/>
        <w:ind w:firstLine="567"/>
        <w:jc w:val="both"/>
      </w:pPr>
      <w:r>
        <w:rPr>
          <w:rFonts w:ascii="Arial" w:cs="Arial" w:eastAsia="Arial" w:hAnsi="Arial"/>
          <w:sz w:val="24"/>
          <w:szCs w:val="24"/>
        </w:rPr>
        <w:t xml:space="preserve">- метод рыночной стоимости обязательства;</w:t>
      </w:r>
    </w:p>
    <w:p>
      <w:pPr>
        <w:spacing w:after="60"/>
        <w:ind w:firstLine="567"/>
        <w:jc w:val="both"/>
      </w:pPr>
      <w:r>
        <w:rPr>
          <w:rFonts w:ascii="Arial" w:cs="Arial" w:eastAsia="Arial" w:hAnsi="Arial"/>
          <w:sz w:val="24"/>
          <w:szCs w:val="24"/>
        </w:rPr>
        <w:t xml:space="preserve">- метод стоимости передачи обязательства;</w:t>
      </w:r>
    </w:p>
    <w:p>
      <w:pPr>
        <w:spacing w:after="60"/>
        <w:ind w:firstLine="567"/>
        <w:jc w:val="both"/>
      </w:pPr>
      <w:r>
        <w:rPr>
          <w:rFonts w:ascii="Arial" w:cs="Arial" w:eastAsia="Arial" w:hAnsi="Arial"/>
          <w:sz w:val="24"/>
          <w:szCs w:val="24"/>
        </w:rPr>
        <w:t xml:space="preserve">- метод цены принятия обязательства.</w:t>
      </w:r>
    </w:p>
    <w:p>
      <w:pPr>
        <w:spacing w:after="60"/>
        <w:ind w:firstLine="567"/>
        <w:jc w:val="both"/>
      </w:pPr>
      <w:r>
        <w:rPr>
          <w:rFonts w:ascii="Arial" w:cs="Arial" w:eastAsia="Arial" w:hAnsi="Arial"/>
          <w:sz w:val="24"/>
          <w:szCs w:val="24"/>
        </w:rPr>
        <w:t xml:space="preserve">68. Методы оценки стоимости, не использующие рыночную информацию, являются методами оценки специфичными для организации. Специфичность метода оценки означает, что оценка стоимости отражает условия и особенности деятельности организации. Решение о том, следует ли использовать специфическое или не специфическое значение для организации принимается на основании цели оценки и качественных характеристик.</w:t>
      </w:r>
    </w:p>
    <w:p>
      <w:pPr>
        <w:spacing w:after="200" w:before="200"/>
        <w:jc w:val="center"/>
      </w:pPr>
      <w:r>
        <w:rPr>
          <w:rFonts w:ascii="Arial" w:cs="Arial" w:eastAsia="Arial" w:hAnsi="Arial"/>
          <w:b/>
          <w:bCs/>
          <w:sz w:val="24"/>
          <w:szCs w:val="24"/>
        </w:rPr>
        <w:t xml:space="preserve">9. Методы оценки стоимости активов</w:t>
      </w:r>
    </w:p>
    <w:p>
      <w:pPr>
        <w:spacing w:after="200" w:before="200"/>
        <w:jc w:val="center"/>
      </w:pPr>
      <w:r>
        <w:rPr>
          <w:rFonts w:ascii="Arial" w:cs="Arial" w:eastAsia="Arial" w:hAnsi="Arial"/>
          <w:b/>
          <w:bCs/>
          <w:sz w:val="24"/>
          <w:szCs w:val="24"/>
        </w:rPr>
        <w:t xml:space="preserve">§ 1. Метод исторической стоимости актива</w:t>
      </w:r>
    </w:p>
    <w:p>
      <w:pPr>
        <w:spacing w:after="60"/>
        <w:ind w:firstLine="567"/>
        <w:jc w:val="both"/>
      </w:pPr>
      <w:r>
        <w:rPr>
          <w:rFonts w:ascii="Arial" w:cs="Arial" w:eastAsia="Arial" w:hAnsi="Arial"/>
          <w:sz w:val="24"/>
          <w:szCs w:val="24"/>
        </w:rPr>
        <w:t xml:space="preserve">69. В методе исторической стоимости актива, для оценки стоимости актива, используется его историческая стоимость.</w:t>
      </w:r>
    </w:p>
    <w:p>
      <w:pPr>
        <w:spacing w:after="60"/>
        <w:ind w:firstLine="567"/>
        <w:jc w:val="both"/>
      </w:pPr>
      <w:r>
        <w:rPr>
          <w:rFonts w:ascii="Arial" w:cs="Arial" w:eastAsia="Arial" w:hAnsi="Arial"/>
          <w:sz w:val="24"/>
          <w:szCs w:val="24"/>
        </w:rPr>
        <w:t xml:space="preserve">Историческая стоимость актива - это стоимость приобретения или разработки актива, включающая ресурсы организации, затраченные на приобретение или разработку актива.</w:t>
      </w:r>
    </w:p>
    <w:p>
      <w:pPr>
        <w:spacing w:after="60"/>
        <w:ind w:firstLine="567"/>
        <w:jc w:val="both"/>
      </w:pPr>
      <w:r>
        <w:rPr>
          <w:rFonts w:ascii="Arial" w:cs="Arial" w:eastAsia="Arial" w:hAnsi="Arial"/>
          <w:sz w:val="24"/>
          <w:szCs w:val="24"/>
        </w:rPr>
        <w:t xml:space="preserve">70. Историческая стоимость актива отражает стоимость актива при поступлении. При оценке стоимости актива на основе метода исторической стоимости, оценка стоимости актива не меняется. Стоимость актива, возможность полезного использования которого или способность получать экономические выгоды от которого, потребляется в течение срока полезного использования, распределяется на расходы отчетного периода в виде обесценения или амортизации.</w:t>
      </w:r>
    </w:p>
    <w:p>
      <w:pPr>
        <w:spacing w:after="60"/>
        <w:ind w:firstLine="567"/>
        <w:jc w:val="both"/>
      </w:pPr>
      <w:r>
        <w:rPr>
          <w:rFonts w:ascii="Arial" w:cs="Arial" w:eastAsia="Arial" w:hAnsi="Arial"/>
          <w:sz w:val="24"/>
          <w:szCs w:val="24"/>
        </w:rPr>
        <w:t xml:space="preserve">71. Обесценение - это стоимостная оценка уменьшения возможности полезного использования или способности получать экономические выгоды от актива, в связи с изменениями экономических или других условий, но не связанная с потреблением актива.</w:t>
      </w:r>
    </w:p>
    <w:p>
      <w:pPr>
        <w:spacing w:after="60"/>
        <w:ind w:firstLine="567"/>
        <w:jc w:val="both"/>
      </w:pPr>
      <w:r>
        <w:rPr>
          <w:rFonts w:ascii="Arial" w:cs="Arial" w:eastAsia="Arial" w:hAnsi="Arial"/>
          <w:sz w:val="24"/>
          <w:szCs w:val="24"/>
        </w:rPr>
        <w:t xml:space="preserve">72. При оценке себестоимости услуг следует учитывать, что при использовании в оценке стоимости активов, оцененных по методу исторической стоимости, снижается прогнозная ценность информации о себестоимости.</w:t>
      </w:r>
    </w:p>
    <w:p>
      <w:pPr>
        <w:spacing w:after="60"/>
        <w:ind w:firstLine="567"/>
        <w:jc w:val="both"/>
      </w:pPr>
      <w:r>
        <w:rPr>
          <w:rFonts w:ascii="Arial" w:cs="Arial" w:eastAsia="Arial" w:hAnsi="Arial"/>
          <w:sz w:val="24"/>
          <w:szCs w:val="24"/>
        </w:rPr>
        <w:t xml:space="preserve">73. При оценке операционных возможностей организации следует учитывать, что:</w:t>
      </w:r>
    </w:p>
    <w:p>
      <w:pPr>
        <w:spacing w:after="60"/>
        <w:ind w:firstLine="567"/>
        <w:jc w:val="both"/>
      </w:pPr>
      <w:r>
        <w:rPr>
          <w:rFonts w:ascii="Arial" w:cs="Arial" w:eastAsia="Arial" w:hAnsi="Arial"/>
          <w:sz w:val="24"/>
          <w:szCs w:val="24"/>
        </w:rPr>
        <w:t xml:space="preserve">- оценка стоимости актива, приобретенного в результате возмездной операции, по исторической стоимости обладает прогнозной ценностью и дает возможную минимальную оценку текущей стоимости;</w:t>
      </w:r>
    </w:p>
    <w:p>
      <w:pPr>
        <w:spacing w:after="60"/>
        <w:ind w:firstLine="567"/>
        <w:jc w:val="both"/>
      </w:pPr>
      <w:r>
        <w:rPr>
          <w:rFonts w:ascii="Arial" w:cs="Arial" w:eastAsia="Arial" w:hAnsi="Arial"/>
          <w:sz w:val="24"/>
          <w:szCs w:val="24"/>
        </w:rPr>
        <w:t xml:space="preserve">- цена сделки, для актива, приобретенного в безвозмездной операции, не обладает подтверждающей или прогнозной ценностью.</w:t>
      </w:r>
    </w:p>
    <w:p>
      <w:pPr>
        <w:spacing w:after="60"/>
        <w:ind w:firstLine="567"/>
        <w:jc w:val="both"/>
      </w:pPr>
      <w:r>
        <w:rPr>
          <w:rFonts w:ascii="Arial" w:cs="Arial" w:eastAsia="Arial" w:hAnsi="Arial"/>
          <w:sz w:val="24"/>
          <w:szCs w:val="24"/>
        </w:rPr>
        <w:t xml:space="preserve">74. При оценке финансовых возможностей организации следует учитывать, что историческая стоимость актива может быть использована для оценки залоговой стоимости, а также для оценки стоимости при продаже, когда она существенно не отличается от текущих значений стоимости актива при выбытии.</w:t>
      </w:r>
    </w:p>
    <w:p>
      <w:pPr>
        <w:spacing w:after="60"/>
        <w:ind w:firstLine="567"/>
        <w:jc w:val="both"/>
      </w:pPr>
      <w:r>
        <w:rPr>
          <w:rFonts w:ascii="Arial" w:cs="Arial" w:eastAsia="Arial" w:hAnsi="Arial"/>
          <w:sz w:val="24"/>
          <w:szCs w:val="24"/>
        </w:rPr>
        <w:t xml:space="preserve">75. Применение метода оценки по исторической стоимости актива снижает сравнимость информации для активов, приобретенных в разные периоды времени.</w:t>
      </w:r>
    </w:p>
    <w:p>
      <w:pPr>
        <w:spacing w:after="60"/>
        <w:ind w:firstLine="567"/>
        <w:jc w:val="both"/>
      </w:pPr>
      <w:r>
        <w:rPr>
          <w:rFonts w:ascii="Arial" w:cs="Arial" w:eastAsia="Arial" w:hAnsi="Arial"/>
          <w:sz w:val="24"/>
          <w:szCs w:val="24"/>
        </w:rPr>
        <w:t xml:space="preserve">76. Используемые в методе исторической стоимости оценки составляющих стоимости актива, как например, включение в стоимость распределения накладных расходов; стоимости запасов, учитываемых по методу средней себестоимости; оценки стоимости каких-либо компонентов; уменьшает степень соответствия качественным характеристикам информации.</w:t>
      </w:r>
    </w:p>
    <w:p>
      <w:pPr>
        <w:spacing w:after="200" w:before="200"/>
        <w:jc w:val="center"/>
      </w:pPr>
      <w:r>
        <w:rPr>
          <w:rFonts w:ascii="Arial" w:cs="Arial" w:eastAsia="Arial" w:hAnsi="Arial"/>
          <w:b/>
          <w:bCs/>
          <w:sz w:val="24"/>
          <w:szCs w:val="24"/>
        </w:rPr>
        <w:t xml:space="preserve">10. Методы оценки текущей стоимости активов</w:t>
      </w:r>
    </w:p>
    <w:p>
      <w:pPr>
        <w:spacing w:after="200" w:before="200"/>
        <w:jc w:val="center"/>
      </w:pPr>
      <w:r>
        <w:rPr>
          <w:rFonts w:ascii="Arial" w:cs="Arial" w:eastAsia="Arial" w:hAnsi="Arial"/>
          <w:b/>
          <w:bCs/>
          <w:sz w:val="24"/>
          <w:szCs w:val="24"/>
        </w:rPr>
        <w:t xml:space="preserve">§ 1. Метод рыночной стоимости актива</w:t>
      </w:r>
    </w:p>
    <w:p>
      <w:pPr>
        <w:spacing w:after="60"/>
        <w:ind w:firstLine="567"/>
        <w:jc w:val="both"/>
      </w:pPr>
      <w:r>
        <w:rPr>
          <w:rFonts w:ascii="Arial" w:cs="Arial" w:eastAsia="Arial" w:hAnsi="Arial"/>
          <w:sz w:val="24"/>
          <w:szCs w:val="24"/>
        </w:rPr>
        <w:t xml:space="preserve">77. В методе рыночной стоимости актива, в качестве основной информации для оценки, используется рыночная стоимость актива.</w:t>
      </w:r>
    </w:p>
    <w:p>
      <w:pPr>
        <w:spacing w:after="60"/>
        <w:ind w:firstLine="567"/>
        <w:jc w:val="both"/>
      </w:pPr>
      <w:r>
        <w:rPr>
          <w:rFonts w:ascii="Arial" w:cs="Arial" w:eastAsia="Arial" w:hAnsi="Arial"/>
          <w:sz w:val="24"/>
          <w:szCs w:val="24"/>
        </w:rPr>
        <w:t xml:space="preserve">Рыночная стоимость актива - это сумма, на которую можно обменять актив при совершении сделки между хорошо осведомленными, желающими совершить такую сделку и независимыми друг от друга сторонами.</w:t>
      </w:r>
    </w:p>
    <w:p>
      <w:pPr>
        <w:spacing w:after="60"/>
        <w:ind w:firstLine="567"/>
        <w:jc w:val="both"/>
      </w:pPr>
      <w:r>
        <w:rPr>
          <w:rFonts w:ascii="Arial" w:cs="Arial" w:eastAsia="Arial" w:hAnsi="Arial"/>
          <w:sz w:val="24"/>
          <w:szCs w:val="24"/>
        </w:rPr>
        <w:t xml:space="preserve">78. Рыночная стоимость актива представляет полезную для пользователей финансовой отчетности информацию, когда она определяется на основании информации полученной из открытого, активного и организованного рынка.</w:t>
      </w:r>
    </w:p>
    <w:p>
      <w:pPr>
        <w:spacing w:after="60"/>
        <w:ind w:firstLine="567"/>
        <w:jc w:val="both"/>
      </w:pPr>
      <w:r>
        <w:rPr>
          <w:rFonts w:ascii="Arial" w:cs="Arial" w:eastAsia="Arial" w:hAnsi="Arial"/>
          <w:sz w:val="24"/>
          <w:szCs w:val="24"/>
        </w:rPr>
        <w:t xml:space="preserve">Открытый, активный и организованный рынок имеет следующие характеристики:</w:t>
      </w:r>
    </w:p>
    <w:p>
      <w:pPr>
        <w:spacing w:after="60"/>
        <w:ind w:firstLine="567"/>
        <w:jc w:val="both"/>
      </w:pPr>
      <w:r>
        <w:rPr>
          <w:rFonts w:ascii="Arial" w:cs="Arial" w:eastAsia="Arial" w:hAnsi="Arial"/>
          <w:sz w:val="24"/>
          <w:szCs w:val="24"/>
        </w:rPr>
        <w:t xml:space="preserve">- открытость - отсутствие препятствий, для осуществления операций на рынке;</w:t>
      </w:r>
    </w:p>
    <w:p>
      <w:pPr>
        <w:spacing w:after="60"/>
        <w:ind w:firstLine="567"/>
        <w:jc w:val="both"/>
      </w:pPr>
      <w:r>
        <w:rPr>
          <w:rFonts w:ascii="Arial" w:cs="Arial" w:eastAsia="Arial" w:hAnsi="Arial"/>
          <w:sz w:val="24"/>
          <w:szCs w:val="24"/>
        </w:rPr>
        <w:t xml:space="preserve">- активность - операции происходят достаточно часто и имеют достаточный объем для предоставления информации о ценах;</w:t>
      </w:r>
    </w:p>
    <w:p>
      <w:pPr>
        <w:spacing w:after="60"/>
        <w:ind w:firstLine="567"/>
        <w:jc w:val="both"/>
      </w:pPr>
      <w:r>
        <w:rPr>
          <w:rFonts w:ascii="Arial" w:cs="Arial" w:eastAsia="Arial" w:hAnsi="Arial"/>
          <w:sz w:val="24"/>
          <w:szCs w:val="24"/>
        </w:rPr>
        <w:t xml:space="preserve">- организованность - наличие большого количества хорошо информированных покупателей и продавцов, действующих без принуждения.</w:t>
      </w:r>
    </w:p>
    <w:p>
      <w:pPr>
        <w:spacing w:after="60"/>
        <w:ind w:firstLine="567"/>
        <w:jc w:val="both"/>
      </w:pPr>
      <w:r>
        <w:rPr>
          <w:rFonts w:ascii="Arial" w:cs="Arial" w:eastAsia="Arial" w:hAnsi="Arial"/>
          <w:sz w:val="24"/>
          <w:szCs w:val="24"/>
        </w:rPr>
        <w:t xml:space="preserve">79. При отсутствии информации из открытого, активного и организованного рынка необходимо оценить полезность цен при поступлении или цен при выбытии. Текущая стоимость, на основе цены при выбытии, может быть полезна для активов, удерживаемых для торговли. Для специализированных активов, оценка стоимости на основе цены при поступлении, лучше отражает ценность актива для организации.</w:t>
      </w:r>
    </w:p>
    <w:p>
      <w:pPr>
        <w:spacing w:after="60"/>
        <w:ind w:firstLine="567"/>
        <w:jc w:val="both"/>
      </w:pPr>
      <w:r>
        <w:rPr>
          <w:rFonts w:ascii="Arial" w:cs="Arial" w:eastAsia="Arial" w:hAnsi="Arial"/>
          <w:sz w:val="24"/>
          <w:szCs w:val="24"/>
        </w:rPr>
        <w:t xml:space="preserve">80. Соответствие качественным характеристикам информации уменьшается при уменьшении качества рыночных данных. При отсутствии открытых, активных и организованных рынков, например в случае рынка уникальных товаров, рыночная стоимость может определяться по предполагаемой цене сделки между участниками рынка в текущих рыночных условиях.</w:t>
      </w:r>
    </w:p>
    <w:p>
      <w:pPr>
        <w:spacing w:after="60"/>
        <w:ind w:firstLine="567"/>
        <w:jc w:val="both"/>
      </w:pPr>
      <w:r>
        <w:rPr>
          <w:rFonts w:ascii="Arial" w:cs="Arial" w:eastAsia="Arial" w:hAnsi="Arial"/>
          <w:sz w:val="24"/>
          <w:szCs w:val="24"/>
        </w:rPr>
        <w:t xml:space="preserve">81. При оценке себестоимости услуг следует учитывать, что при использовании метода рыночной стоимости актива, себестоимость будет основываться на оценке стоимости использования актива, основанной на рыночной стоимости. Для бюджетных организаций не характерно предоставление услуг по рыночным ценам. Это накладывает ограничение на полезность оценки, основанной на рыночной стоимости актива.</w:t>
      </w:r>
    </w:p>
    <w:p>
      <w:pPr>
        <w:spacing w:after="60"/>
        <w:ind w:firstLine="567"/>
        <w:jc w:val="both"/>
      </w:pPr>
      <w:r>
        <w:rPr>
          <w:rFonts w:ascii="Arial" w:cs="Arial" w:eastAsia="Arial" w:hAnsi="Arial"/>
          <w:sz w:val="24"/>
          <w:szCs w:val="24"/>
        </w:rPr>
        <w:t xml:space="preserve">82. Информация, полученная из открытых, активных и организованных рынков, соответствует качественным характеристикам информации, включаемой в финансовую отчетность. Такая информация обеспечивает уверенность организации в реализации активов по рыночной стоимости (и не более) на отчетную дату. В связи с этим, при применении метода рыночной стоимости актива, в учете следует признавать изменения стоимости на каждую отчетную дату, до продажи актива.</w:t>
      </w:r>
    </w:p>
    <w:p>
      <w:pPr>
        <w:spacing w:after="60"/>
        <w:ind w:firstLine="567"/>
        <w:jc w:val="both"/>
      </w:pPr>
      <w:r>
        <w:rPr>
          <w:rFonts w:ascii="Arial" w:cs="Arial" w:eastAsia="Arial" w:hAnsi="Arial"/>
          <w:sz w:val="24"/>
          <w:szCs w:val="24"/>
        </w:rPr>
        <w:t xml:space="preserve">83. При оценке операционных возможностей организации следует учитывать, что, если рыночная стоимость актива при выбытии значительно ниже его исторической стоимости, то рыночная стоимость, будет менее уместной, чем историческая стоимость такого актива. Такая рыночная стоимость также, вероятно, будет менее существенной, чем текущие оценки, основанные на стоимости при поступлении.</w:t>
      </w:r>
    </w:p>
    <w:p>
      <w:pPr>
        <w:spacing w:after="60"/>
        <w:ind w:firstLine="567"/>
        <w:jc w:val="both"/>
      </w:pPr>
      <w:r>
        <w:rPr>
          <w:rFonts w:ascii="Arial" w:cs="Arial" w:eastAsia="Arial" w:hAnsi="Arial"/>
          <w:sz w:val="24"/>
          <w:szCs w:val="24"/>
        </w:rPr>
        <w:t xml:space="preserve">84. При оценке финансовых возможностей рыночная стоимость актива дает полезную информацию о стоимости актива при продаже.</w:t>
      </w:r>
    </w:p>
    <w:p>
      <w:pPr>
        <w:spacing w:after="200" w:before="200"/>
        <w:jc w:val="center"/>
      </w:pPr>
      <w:r>
        <w:rPr>
          <w:rFonts w:ascii="Arial" w:cs="Arial" w:eastAsia="Arial" w:hAnsi="Arial"/>
          <w:b/>
          <w:bCs/>
          <w:sz w:val="24"/>
          <w:szCs w:val="24"/>
        </w:rPr>
        <w:t xml:space="preserve">§ 2. Метод стоимости замещения актива</w:t>
      </w:r>
    </w:p>
    <w:p>
      <w:pPr>
        <w:spacing w:after="60"/>
        <w:ind w:firstLine="567"/>
        <w:jc w:val="both"/>
      </w:pPr>
      <w:r>
        <w:rPr>
          <w:rFonts w:ascii="Arial" w:cs="Arial" w:eastAsia="Arial" w:hAnsi="Arial"/>
          <w:sz w:val="24"/>
          <w:szCs w:val="24"/>
        </w:rPr>
        <w:t xml:space="preserve">85. В методе стоимости замещения актива, для оценки стоимости существующего актива, используется стоимость аналогичного актива, который заменяет возможность текущего полезного использования существующего актива.</w:t>
      </w:r>
    </w:p>
    <w:p>
      <w:pPr>
        <w:spacing w:after="60"/>
        <w:ind w:firstLine="567"/>
        <w:jc w:val="both"/>
      </w:pPr>
      <w:r>
        <w:rPr>
          <w:rFonts w:ascii="Arial" w:cs="Arial" w:eastAsia="Arial" w:hAnsi="Arial"/>
          <w:sz w:val="24"/>
          <w:szCs w:val="24"/>
        </w:rPr>
        <w:t xml:space="preserve">Стоимость замещения актива - это наиболее экономичные затраты, необходимые для того, чтобы организация заменила возможность полезного использования актива (включая сумму, которую организация получит от продажи актива в конце срока полезной службы) на отчетную дату.</w:t>
      </w:r>
    </w:p>
    <w:p>
      <w:pPr>
        <w:spacing w:after="60"/>
        <w:ind w:firstLine="567"/>
        <w:jc w:val="both"/>
      </w:pPr>
      <w:r>
        <w:rPr>
          <w:rFonts w:ascii="Arial" w:cs="Arial" w:eastAsia="Arial" w:hAnsi="Arial"/>
          <w:sz w:val="24"/>
          <w:szCs w:val="24"/>
        </w:rPr>
        <w:t xml:space="preserve">86. Стоимость замещения актива учитывает: специфику организации, например ее масштаб; затраты, связанные с приобретением и заменой актива в ходе обычной деятельности; оптимизацию расходов при сохранении качеств текущего полезного использования актива.</w:t>
      </w:r>
    </w:p>
    <w:p>
      <w:pPr>
        <w:spacing w:after="60"/>
        <w:ind w:firstLine="567"/>
        <w:jc w:val="both"/>
      </w:pPr>
      <w:r>
        <w:rPr>
          <w:rFonts w:ascii="Arial" w:cs="Arial" w:eastAsia="Arial" w:hAnsi="Arial"/>
          <w:sz w:val="24"/>
          <w:szCs w:val="24"/>
        </w:rPr>
        <w:t xml:space="preserve">87. При оценке себестоимости предоставления услуг следует учитывать, что метод стоимости замещения актива дает правильную оценку текущей себестоимости предоставления услуг, текущую оценку стоимости замены актива и следовательно, обеспечивает полезную основу для сравнения с другими организациями, которые используют такой же метод оценки. Метод стоимости замещения актива дает более точную, по сравнению с методом исторической стоимости, прогнозную информацию.</w:t>
      </w:r>
    </w:p>
    <w:p>
      <w:pPr>
        <w:spacing w:after="60"/>
        <w:ind w:firstLine="567"/>
        <w:jc w:val="both"/>
      </w:pPr>
      <w:r>
        <w:rPr>
          <w:rFonts w:ascii="Arial" w:cs="Arial" w:eastAsia="Arial" w:hAnsi="Arial"/>
          <w:sz w:val="24"/>
          <w:szCs w:val="24"/>
        </w:rPr>
        <w:t xml:space="preserve">88. При оценке операционных возможностей следует учитывать, что метод стоимости замещения актива дает правильную текущую и прогнозную оценку полезного использования стоимости ресурсов.</w:t>
      </w:r>
    </w:p>
    <w:p>
      <w:pPr>
        <w:spacing w:after="60"/>
        <w:ind w:firstLine="567"/>
        <w:jc w:val="both"/>
      </w:pPr>
      <w:r>
        <w:rPr>
          <w:rFonts w:ascii="Arial" w:cs="Arial" w:eastAsia="Arial" w:hAnsi="Arial"/>
          <w:sz w:val="24"/>
          <w:szCs w:val="24"/>
        </w:rPr>
        <w:t xml:space="preserve">89. При оценке финансовых возможностей, следует учитывать, что метод стоимости замещения актива не содержит информации о возможной цене продажи активов.</w:t>
      </w:r>
    </w:p>
    <w:p>
      <w:pPr>
        <w:spacing w:after="60"/>
        <w:ind w:firstLine="567"/>
        <w:jc w:val="both"/>
      </w:pPr>
      <w:r>
        <w:rPr>
          <w:rFonts w:ascii="Arial" w:cs="Arial" w:eastAsia="Arial" w:hAnsi="Arial"/>
          <w:sz w:val="24"/>
          <w:szCs w:val="24"/>
        </w:rPr>
        <w:t xml:space="preserve">90. Метод стоимости замещения актива в некоторых случаях сложен для применения, использует субъективные профессиональные суждения, что снижает достоверность, понятность, проверяемость представляемой информации.</w:t>
      </w:r>
    </w:p>
    <w:p>
      <w:pPr>
        <w:spacing w:after="200" w:before="200"/>
        <w:jc w:val="center"/>
      </w:pPr>
      <w:r>
        <w:rPr>
          <w:rFonts w:ascii="Arial" w:cs="Arial" w:eastAsia="Arial" w:hAnsi="Arial"/>
          <w:b/>
          <w:bCs/>
          <w:sz w:val="24"/>
          <w:szCs w:val="24"/>
        </w:rPr>
        <w:t xml:space="preserve">§ 3. Метод чистой цены продажи актива</w:t>
      </w:r>
    </w:p>
    <w:p>
      <w:pPr>
        <w:spacing w:after="60"/>
        <w:ind w:firstLine="567"/>
        <w:jc w:val="both"/>
      </w:pPr>
      <w:r>
        <w:rPr>
          <w:rFonts w:ascii="Arial" w:cs="Arial" w:eastAsia="Arial" w:hAnsi="Arial"/>
          <w:sz w:val="24"/>
          <w:szCs w:val="24"/>
        </w:rPr>
        <w:t xml:space="preserve">91. В методе чистой цены продажи актива, для оценки стоимости существующего актива, используется цена продажи актива за вычетом расходов на продажу.</w:t>
      </w:r>
    </w:p>
    <w:p>
      <w:pPr>
        <w:spacing w:after="60"/>
        <w:ind w:firstLine="567"/>
        <w:jc w:val="both"/>
      </w:pPr>
      <w:r>
        <w:rPr>
          <w:rFonts w:ascii="Arial" w:cs="Arial" w:eastAsia="Arial" w:hAnsi="Arial"/>
          <w:sz w:val="24"/>
          <w:szCs w:val="24"/>
        </w:rPr>
        <w:t xml:space="preserve">Чистая цена продажи актива - это сумма, которую организация может получить от продажи актива, доступным ей способом, после вычета расходов на продажу.</w:t>
      </w:r>
    </w:p>
    <w:p>
      <w:pPr>
        <w:spacing w:after="60"/>
        <w:ind w:firstLine="567"/>
        <w:jc w:val="both"/>
      </w:pPr>
      <w:r>
        <w:rPr>
          <w:rFonts w:ascii="Arial" w:cs="Arial" w:eastAsia="Arial" w:hAnsi="Arial"/>
          <w:sz w:val="24"/>
          <w:szCs w:val="24"/>
        </w:rPr>
        <w:t xml:space="preserve">92. Чистая цена продажи актива отличается от рыночной стоимости тем, что она не требует открытого, активного и организованного рынка или оценки цены на таком рынке и, что она включает в себя расходы на продажу. Таким образом, чистая цена продажи актива отражает ограничения на продажу. Метод чистой цены продажи актива дает оценку стоимости актива, которая специфична для организации.</w:t>
      </w:r>
    </w:p>
    <w:p>
      <w:pPr>
        <w:spacing w:after="60"/>
        <w:ind w:firstLine="567"/>
        <w:jc w:val="both"/>
      </w:pPr>
      <w:r>
        <w:rPr>
          <w:rFonts w:ascii="Arial" w:cs="Arial" w:eastAsia="Arial" w:hAnsi="Arial"/>
          <w:sz w:val="24"/>
          <w:szCs w:val="24"/>
        </w:rPr>
        <w:t xml:space="preserve">93. Метод чистой цены продажи актива не подходит для оценки стоимости, в том случае, когда организация имеет возможность более эффективно использовать свои ресурсы за счет использования актива другим способом, например, путем его использования для предоставления услуг.</w:t>
      </w:r>
    </w:p>
    <w:p>
      <w:pPr>
        <w:spacing w:after="60"/>
        <w:ind w:firstLine="567"/>
        <w:jc w:val="both"/>
      </w:pPr>
      <w:r>
        <w:rPr>
          <w:rFonts w:ascii="Arial" w:cs="Arial" w:eastAsia="Arial" w:hAnsi="Arial"/>
          <w:sz w:val="24"/>
          <w:szCs w:val="24"/>
        </w:rPr>
        <w:t xml:space="preserve">94. Метод чистой цены продажи актива полезен там, где доступным, наиболее эффективным, по использованию ресурсов действием для организации, является продажа актива.</w:t>
      </w:r>
    </w:p>
    <w:p>
      <w:pPr>
        <w:spacing w:after="60"/>
        <w:ind w:firstLine="567"/>
        <w:jc w:val="both"/>
      </w:pPr>
      <w:r>
        <w:rPr>
          <w:rFonts w:ascii="Arial" w:cs="Arial" w:eastAsia="Arial" w:hAnsi="Arial"/>
          <w:sz w:val="24"/>
          <w:szCs w:val="24"/>
        </w:rPr>
        <w:t xml:space="preserve">95. Метод чистой цены продажи актива неприемлемо использовать при оценке себестоимости предоставления услуг, в связи с тем, что включаемая в себестоимость предоставления услуг стоимость актива не отражает стоимость возможности полезного использования, а отражает только сумму, которая может быть получена от продажи актива.</w:t>
      </w:r>
    </w:p>
    <w:p>
      <w:pPr>
        <w:spacing w:after="60"/>
        <w:ind w:firstLine="567"/>
        <w:jc w:val="both"/>
      </w:pPr>
      <w:r>
        <w:rPr>
          <w:rFonts w:ascii="Arial" w:cs="Arial" w:eastAsia="Arial" w:hAnsi="Arial"/>
          <w:sz w:val="24"/>
          <w:szCs w:val="24"/>
        </w:rPr>
        <w:t xml:space="preserve">96. При оценке операционных возможностей следует учитывать, что метод чистой цены продажи актива не дает полезной информации, для оценки операционных возможностей, так как показывает сумму, которая может быть получена от продажи актива, а не стоимость возможности полезного использования актива.</w:t>
      </w:r>
    </w:p>
    <w:p>
      <w:pPr>
        <w:spacing w:after="60"/>
        <w:ind w:firstLine="567"/>
        <w:jc w:val="both"/>
      </w:pPr>
      <w:r>
        <w:rPr>
          <w:rFonts w:ascii="Arial" w:cs="Arial" w:eastAsia="Arial" w:hAnsi="Arial"/>
          <w:sz w:val="24"/>
          <w:szCs w:val="24"/>
        </w:rPr>
        <w:t xml:space="preserve">97. При оценке финансовых возможностей следует учитывать, что метод чистой цены продажи актива дает полезную информацию о стоимости актива при продаже, но не дает полезную информацию для оценки ценности полезного использования актива.</w:t>
      </w:r>
    </w:p>
    <w:p>
      <w:pPr>
        <w:spacing w:after="60"/>
        <w:ind w:firstLine="567"/>
        <w:jc w:val="both"/>
      </w:pPr>
      <w:r>
        <w:rPr>
          <w:rFonts w:ascii="Arial" w:cs="Arial" w:eastAsia="Arial" w:hAnsi="Arial"/>
          <w:sz w:val="24"/>
          <w:szCs w:val="24"/>
        </w:rPr>
        <w:t xml:space="preserve">98. Чистая цена продажи актива обычно предоставляет понятную информацию. В большинстве случаев, когда использование метода чистой цены продажи уместно, будут достигаться качественные характеристики достоверного представления, проверяемости и своевременности.</w:t>
      </w:r>
    </w:p>
    <w:p>
      <w:pPr>
        <w:spacing w:after="200" w:before="200"/>
        <w:jc w:val="center"/>
      </w:pPr>
      <w:r>
        <w:rPr>
          <w:rFonts w:ascii="Arial" w:cs="Arial" w:eastAsia="Arial" w:hAnsi="Arial"/>
          <w:b/>
          <w:bCs/>
          <w:sz w:val="24"/>
          <w:szCs w:val="24"/>
        </w:rPr>
        <w:t xml:space="preserve">§ 4. Метод ценности использования актива</w:t>
      </w:r>
    </w:p>
    <w:p>
      <w:pPr>
        <w:spacing w:after="60"/>
        <w:ind w:firstLine="567"/>
        <w:jc w:val="both"/>
      </w:pPr>
      <w:r>
        <w:rPr>
          <w:rFonts w:ascii="Arial" w:cs="Arial" w:eastAsia="Arial" w:hAnsi="Arial"/>
          <w:sz w:val="24"/>
          <w:szCs w:val="24"/>
        </w:rPr>
        <w:t xml:space="preserve">99. В методе ценности использования актива, для оценки стоимости существующего актива, используется ценность использования актива.</w:t>
      </w:r>
    </w:p>
    <w:p>
      <w:pPr>
        <w:spacing w:after="60"/>
        <w:ind w:firstLine="567"/>
        <w:jc w:val="both"/>
      </w:pPr>
      <w:r>
        <w:rPr>
          <w:rFonts w:ascii="Arial" w:cs="Arial" w:eastAsia="Arial" w:hAnsi="Arial"/>
          <w:sz w:val="24"/>
          <w:szCs w:val="24"/>
        </w:rPr>
        <w:t xml:space="preserve">Ценность использования актива - это дисконтированная стоимость оставшейся возможности полезного использования актива или возможности получать экономические выгоды, и суммы, которую организация получит от продажи в конце срока полезного использования за вычетом расходов на продажу.</w:t>
      </w:r>
    </w:p>
    <w:p>
      <w:pPr>
        <w:spacing w:after="60"/>
        <w:ind w:firstLine="567"/>
        <w:jc w:val="both"/>
      </w:pPr>
      <w:r>
        <w:rPr>
          <w:rFonts w:ascii="Arial" w:cs="Arial" w:eastAsia="Arial" w:hAnsi="Arial"/>
          <w:sz w:val="24"/>
          <w:szCs w:val="24"/>
        </w:rPr>
        <w:t xml:space="preserve">100. В силу ограниченной доступности информации для применения метода ценности использования и существования других, более доступных методов оценки, метод ценности использования применим, когда оценка стоимости на его основе меньше стоимости замещения и больше, чем чистая цена продажи.</w:t>
      </w:r>
    </w:p>
    <w:p>
      <w:pPr>
        <w:spacing w:after="60"/>
        <w:ind w:firstLine="567"/>
        <w:jc w:val="both"/>
      </w:pPr>
      <w:r>
        <w:rPr>
          <w:rFonts w:ascii="Arial" w:cs="Arial" w:eastAsia="Arial" w:hAnsi="Arial"/>
          <w:sz w:val="24"/>
          <w:szCs w:val="24"/>
        </w:rPr>
        <w:t xml:space="preserve">101. В связи с тем, что организации владеют активами с целью предоставления услуг, безвозмездно или за символическую плату, использование метода ценности использования актива будет затруднено из-за отсутствия необходимой информации об ожидаемых потоках денежных средств.</w:t>
      </w:r>
    </w:p>
    <w:p>
      <w:pPr>
        <w:spacing w:after="60"/>
        <w:ind w:firstLine="567"/>
        <w:jc w:val="both"/>
      </w:pPr>
      <w:r>
        <w:rPr>
          <w:rFonts w:ascii="Arial" w:cs="Arial" w:eastAsia="Arial" w:hAnsi="Arial"/>
          <w:sz w:val="24"/>
          <w:szCs w:val="24"/>
        </w:rPr>
        <w:t xml:space="preserve">102. Для оценки операционных возможностей метод применим, когда организация имеет большое количество активов, которые не стоит заменять, но их ценность использования превышает чистую цену продажи, например, когда организация собирается прекратить предоставление услуги в будущем, но доходы от немедленной продажи будут меньше, чем возможность полезного использования, заключенная в активах. Ограниченная применимость метода ценности использования снижает его уместность для оценки финансовых возможностей.</w:t>
      </w:r>
    </w:p>
    <w:p>
      <w:pPr>
        <w:spacing w:after="60"/>
        <w:ind w:firstLine="567"/>
        <w:jc w:val="both"/>
      </w:pPr>
      <w:r>
        <w:rPr>
          <w:rFonts w:ascii="Arial" w:cs="Arial" w:eastAsia="Arial" w:hAnsi="Arial"/>
          <w:sz w:val="24"/>
          <w:szCs w:val="24"/>
        </w:rPr>
        <w:t xml:space="preserve">103. Из-за ограниченности применения метода ценности использования актива во многих случаях снижается достоверность представления информации, а также прочие качественные характеристики информации.</w:t>
      </w:r>
    </w:p>
    <w:p>
      <w:pPr>
        <w:spacing w:after="200" w:before="200"/>
        <w:jc w:val="center"/>
      </w:pPr>
      <w:r>
        <w:rPr>
          <w:rFonts w:ascii="Arial" w:cs="Arial" w:eastAsia="Arial" w:hAnsi="Arial"/>
          <w:b/>
          <w:bCs/>
          <w:sz w:val="24"/>
          <w:szCs w:val="24"/>
        </w:rPr>
        <w:t xml:space="preserve">11. Методы оценки стоимости обязательств</w:t>
      </w:r>
    </w:p>
    <w:p>
      <w:pPr>
        <w:spacing w:after="200" w:before="200"/>
        <w:jc w:val="center"/>
      </w:pPr>
      <w:r>
        <w:rPr>
          <w:rFonts w:ascii="Arial" w:cs="Arial" w:eastAsia="Arial" w:hAnsi="Arial"/>
          <w:b/>
          <w:bCs/>
          <w:sz w:val="24"/>
          <w:szCs w:val="24"/>
        </w:rPr>
        <w:t xml:space="preserve">§ 1. Метод исторической стоимости обязательства</w:t>
      </w:r>
    </w:p>
    <w:p>
      <w:pPr>
        <w:spacing w:after="60"/>
        <w:ind w:firstLine="567"/>
        <w:jc w:val="both"/>
      </w:pPr>
      <w:r>
        <w:rPr>
          <w:rFonts w:ascii="Arial" w:cs="Arial" w:eastAsia="Arial" w:hAnsi="Arial"/>
          <w:sz w:val="24"/>
          <w:szCs w:val="24"/>
        </w:rPr>
        <w:t xml:space="preserve">104. В методе исторической стоимости обязательства, для оценки стоимости обязательства, используется его историческая стоимость.</w:t>
      </w:r>
    </w:p>
    <w:p>
      <w:pPr>
        <w:spacing w:after="60"/>
        <w:ind w:firstLine="567"/>
        <w:jc w:val="both"/>
      </w:pPr>
      <w:r>
        <w:rPr>
          <w:rFonts w:ascii="Arial" w:cs="Arial" w:eastAsia="Arial" w:hAnsi="Arial"/>
          <w:sz w:val="24"/>
          <w:szCs w:val="24"/>
        </w:rPr>
        <w:t xml:space="preserve">Историческая стоимость обязательства - это полученное вознаграждение за принятие на себя обязательства, которое представляет собой денежные средства или их эквиваленты, или стоимость другого вознаграждения, полученного в момент принятие на себя обязательства.</w:t>
      </w:r>
    </w:p>
    <w:p>
      <w:pPr>
        <w:spacing w:after="60"/>
        <w:ind w:firstLine="567"/>
        <w:jc w:val="both"/>
      </w:pPr>
      <w:r>
        <w:rPr>
          <w:rFonts w:ascii="Arial" w:cs="Arial" w:eastAsia="Arial" w:hAnsi="Arial"/>
          <w:sz w:val="24"/>
          <w:szCs w:val="24"/>
        </w:rPr>
        <w:t xml:space="preserve">105. Первоначальная оценка стоимости обязательства на основе метода исторической стоимости может корректироваться для учета стоимости денег во времени, финансовых затрат.</w:t>
      </w:r>
    </w:p>
    <w:p>
      <w:pPr>
        <w:spacing w:after="60"/>
        <w:ind w:firstLine="567"/>
        <w:jc w:val="both"/>
      </w:pPr>
      <w:r>
        <w:rPr>
          <w:rFonts w:ascii="Arial" w:cs="Arial" w:eastAsia="Arial" w:hAnsi="Arial"/>
          <w:sz w:val="24"/>
          <w:szCs w:val="24"/>
        </w:rPr>
        <w:t xml:space="preserve">106. Для учета стоимости денег во времени, при учете обязательства, размер будущих платежей по обязательству дисконтируется, так что в момент первоначального признания обязательства, его стоимость представляет полученную сумму. Разница между суммой будущего платежа и дисконтированной стоимостью обязательства амортизируется в течение срока действия обязательства, так что обязательство в конце срока будет учтено по стоимости погашения.</w:t>
      </w:r>
    </w:p>
    <w:p>
      <w:pPr>
        <w:spacing w:after="60"/>
        <w:ind w:firstLine="567"/>
        <w:jc w:val="both"/>
      </w:pPr>
      <w:r>
        <w:rPr>
          <w:rFonts w:ascii="Arial" w:cs="Arial" w:eastAsia="Arial" w:hAnsi="Arial"/>
          <w:sz w:val="24"/>
          <w:szCs w:val="24"/>
        </w:rPr>
        <w:t xml:space="preserve">107. При оценке применимости метода исторической стоимости для оценки стоимости обязательств следует учитывать, что метод не предоставляет полезную информацию для оценки обязательств, возникших из безвозмездных операций и обязательств стоимость которых может меняться.</w:t>
      </w:r>
    </w:p>
    <w:p>
      <w:pPr>
        <w:spacing w:after="200" w:before="200"/>
        <w:jc w:val="center"/>
      </w:pPr>
      <w:r>
        <w:rPr>
          <w:rFonts w:ascii="Arial" w:cs="Arial" w:eastAsia="Arial" w:hAnsi="Arial"/>
          <w:b/>
          <w:bCs/>
          <w:sz w:val="24"/>
          <w:szCs w:val="24"/>
        </w:rPr>
        <w:t xml:space="preserve">§ 2. Метод стоимости исполнения обязательства</w:t>
      </w:r>
    </w:p>
    <w:p>
      <w:pPr>
        <w:spacing w:after="60"/>
        <w:ind w:firstLine="567"/>
        <w:jc w:val="both"/>
      </w:pPr>
      <w:r>
        <w:rPr>
          <w:rFonts w:ascii="Arial" w:cs="Arial" w:eastAsia="Arial" w:hAnsi="Arial"/>
          <w:sz w:val="24"/>
          <w:szCs w:val="24"/>
        </w:rPr>
        <w:t xml:space="preserve">108. В методе стоимости исполнения обязательства, для оценки стоимости обязательства, используется стоимость исполнения обязательства.</w:t>
      </w:r>
    </w:p>
    <w:p>
      <w:pPr>
        <w:spacing w:after="60"/>
        <w:ind w:firstLine="567"/>
        <w:jc w:val="both"/>
      </w:pPr>
      <w:r>
        <w:rPr>
          <w:rFonts w:ascii="Arial" w:cs="Arial" w:eastAsia="Arial" w:hAnsi="Arial"/>
          <w:sz w:val="24"/>
          <w:szCs w:val="24"/>
        </w:rPr>
        <w:t xml:space="preserve">Стоимость исполнения обязательства - это наименьшие затраты, которые организация понесет при исполнении обязанностей, по взятым на себя обязательствами.</w:t>
      </w:r>
    </w:p>
    <w:p>
      <w:pPr>
        <w:spacing w:after="60"/>
        <w:ind w:firstLine="567"/>
        <w:jc w:val="both"/>
      </w:pPr>
      <w:r>
        <w:rPr>
          <w:rFonts w:ascii="Arial" w:cs="Arial" w:eastAsia="Arial" w:hAnsi="Arial"/>
          <w:sz w:val="24"/>
          <w:szCs w:val="24"/>
        </w:rPr>
        <w:t xml:space="preserve">109. Стоимость исполнения обязательства учитывает все возможные, наиболее эффективные варианты исполнения обязанности. При нефинансовом исполнении обязательства, собственными силами, организация оценивает стоимость исполнения на основе себестоимости, без учета возможной прибыли.</w:t>
      </w:r>
    </w:p>
    <w:p>
      <w:pPr>
        <w:spacing w:after="60"/>
        <w:ind w:firstLine="567"/>
        <w:jc w:val="both"/>
      </w:pPr>
      <w:r>
        <w:rPr>
          <w:rFonts w:ascii="Arial" w:cs="Arial" w:eastAsia="Arial" w:hAnsi="Arial"/>
          <w:sz w:val="24"/>
          <w:szCs w:val="24"/>
        </w:rPr>
        <w:t xml:space="preserve">110. Для обязательств, для которых существенен срок исполнения, денежные потоки должны быть дисконтированы, для отражения стоимости обязательства на отчетную дату.</w:t>
      </w:r>
    </w:p>
    <w:p>
      <w:pPr>
        <w:spacing w:after="60"/>
        <w:ind w:firstLine="567"/>
        <w:jc w:val="both"/>
      </w:pPr>
      <w:r>
        <w:rPr>
          <w:rFonts w:ascii="Arial" w:cs="Arial" w:eastAsia="Arial" w:hAnsi="Arial"/>
          <w:sz w:val="24"/>
          <w:szCs w:val="24"/>
        </w:rPr>
        <w:t xml:space="preserve">111. Метод стоимости исполнения обязательства обычно применяется для оценки всех обязательств, за исключением:</w:t>
      </w:r>
    </w:p>
    <w:p>
      <w:pPr>
        <w:spacing w:after="60"/>
        <w:ind w:firstLine="567"/>
        <w:jc w:val="both"/>
      </w:pPr>
      <w:r>
        <w:rPr>
          <w:rFonts w:ascii="Arial" w:cs="Arial" w:eastAsia="Arial" w:hAnsi="Arial"/>
          <w:sz w:val="24"/>
          <w:szCs w:val="24"/>
        </w:rPr>
        <w:t xml:space="preserve">- обязательств, по которым организация может получить освобождение от обязанности по сумме меньшей, чем стоимость исполнения. В таком случае стоимость освобождения от обязательства является более уместной оценкой текущей величины обязательства; и</w:t>
      </w:r>
    </w:p>
    <w:p>
      <w:pPr>
        <w:spacing w:after="60"/>
        <w:ind w:firstLine="567"/>
        <w:jc w:val="both"/>
      </w:pPr>
      <w:r>
        <w:rPr>
          <w:rFonts w:ascii="Arial" w:cs="Arial" w:eastAsia="Arial" w:hAnsi="Arial"/>
          <w:sz w:val="24"/>
          <w:szCs w:val="24"/>
        </w:rPr>
        <w:t xml:space="preserve">- обязательств, принятых за вознаграждение. В таком случае цена принятия может быть более уместна, в том случае, когда цена принятия выше, чем стоимость исполнения и стоимость освобождения.</w:t>
      </w:r>
    </w:p>
    <w:p>
      <w:pPr>
        <w:spacing w:after="200" w:before="200"/>
        <w:jc w:val="center"/>
      </w:pPr>
      <w:r>
        <w:rPr>
          <w:rFonts w:ascii="Arial" w:cs="Arial" w:eastAsia="Arial" w:hAnsi="Arial"/>
          <w:b/>
          <w:bCs/>
          <w:sz w:val="24"/>
          <w:szCs w:val="24"/>
        </w:rPr>
        <w:t xml:space="preserve">§ 3. Метод рыночной стоимости обязательства</w:t>
      </w:r>
    </w:p>
    <w:p>
      <w:pPr>
        <w:spacing w:after="60"/>
        <w:ind w:firstLine="567"/>
        <w:jc w:val="both"/>
      </w:pPr>
      <w:r>
        <w:rPr>
          <w:rFonts w:ascii="Arial" w:cs="Arial" w:eastAsia="Arial" w:hAnsi="Arial"/>
          <w:sz w:val="24"/>
          <w:szCs w:val="24"/>
        </w:rPr>
        <w:t xml:space="preserve">112. В методе рыночной стоимости обязательства, для оценки стоимости обязательства, используется рыночная стоимость обязательства.</w:t>
      </w:r>
    </w:p>
    <w:p>
      <w:pPr>
        <w:spacing w:after="60"/>
        <w:ind w:firstLine="567"/>
        <w:jc w:val="both"/>
      </w:pPr>
      <w:r>
        <w:rPr>
          <w:rFonts w:ascii="Arial" w:cs="Arial" w:eastAsia="Arial" w:hAnsi="Arial"/>
          <w:sz w:val="24"/>
          <w:szCs w:val="24"/>
        </w:rPr>
        <w:t xml:space="preserve">Рыночная стоимость обязательства - это сумма, за которую обязательство может быть урегулировано при совершении сделки между хорошо осведомленными, желающими совершить такую сделку и независимыми друг от друга сторонами.</w:t>
      </w:r>
    </w:p>
    <w:p>
      <w:pPr>
        <w:spacing w:after="60"/>
        <w:ind w:firstLine="567"/>
        <w:jc w:val="both"/>
      </w:pPr>
      <w:r>
        <w:rPr>
          <w:rFonts w:ascii="Arial" w:cs="Arial" w:eastAsia="Arial" w:hAnsi="Arial"/>
          <w:sz w:val="24"/>
          <w:szCs w:val="24"/>
        </w:rPr>
        <w:t xml:space="preserve">113. Метод рыночной стоимости обязательства при оценке стоимости обязательств может применяться, когда стоимость обязательства связана с изменениями ставки, цены или индекса, котируемого на открытом, активном и организованном рынке. В тех случаях, когда возможность передачи обязательства ограничена, и условия, на которых такая передача возможна, неясны, метод рыночной стоимости, неприменим.</w:t>
      </w:r>
    </w:p>
    <w:p>
      <w:pPr>
        <w:spacing w:after="200" w:before="200"/>
        <w:jc w:val="center"/>
      </w:pPr>
      <w:r>
        <w:rPr>
          <w:rFonts w:ascii="Arial" w:cs="Arial" w:eastAsia="Arial" w:hAnsi="Arial"/>
          <w:b/>
          <w:bCs/>
          <w:sz w:val="24"/>
          <w:szCs w:val="24"/>
        </w:rPr>
        <w:t xml:space="preserve">§ 4. Метод стоимости передачи обязательства</w:t>
      </w:r>
    </w:p>
    <w:p>
      <w:pPr>
        <w:spacing w:after="60"/>
        <w:ind w:firstLine="567"/>
        <w:jc w:val="both"/>
      </w:pPr>
      <w:r>
        <w:rPr>
          <w:rFonts w:ascii="Arial" w:cs="Arial" w:eastAsia="Arial" w:hAnsi="Arial"/>
          <w:sz w:val="24"/>
          <w:szCs w:val="24"/>
        </w:rPr>
        <w:t xml:space="preserve">114. В методе стоимости передачи обязательства, для оценки стоимости обязательства, используется стоимость передачи обязательства.</w:t>
      </w:r>
    </w:p>
    <w:p>
      <w:pPr>
        <w:spacing w:after="60"/>
        <w:ind w:firstLine="567"/>
        <w:jc w:val="both"/>
      </w:pPr>
      <w:r>
        <w:rPr>
          <w:rFonts w:ascii="Arial" w:cs="Arial" w:eastAsia="Arial" w:hAnsi="Arial"/>
          <w:sz w:val="24"/>
          <w:szCs w:val="24"/>
        </w:rPr>
        <w:t xml:space="preserve">Стоимость передачи обязательства - это сумма, которую либо кредитор примет при урегулировании своего требования, либо третье лицо потребует за принятие обязательства от должника.</w:t>
      </w:r>
    </w:p>
    <w:p>
      <w:pPr>
        <w:spacing w:after="60"/>
        <w:ind w:firstLine="567"/>
        <w:jc w:val="both"/>
      </w:pPr>
      <w:r>
        <w:rPr>
          <w:rFonts w:ascii="Arial" w:cs="Arial" w:eastAsia="Arial" w:hAnsi="Arial"/>
          <w:sz w:val="24"/>
          <w:szCs w:val="24"/>
        </w:rPr>
        <w:t xml:space="preserve">115. При оценке применимости метода стоимости передачи обязательства следует учитывать, что во многих случаях невозможна передача обязательства, например, когда в договоре существуют ограничения на передачу обязательств или передача обязательства нанесет репутационный ущерб организации.</w:t>
      </w:r>
    </w:p>
    <w:p>
      <w:pPr>
        <w:spacing w:after="60"/>
        <w:ind w:firstLine="567"/>
        <w:jc w:val="both"/>
      </w:pPr>
      <w:r>
        <w:rPr>
          <w:rFonts w:ascii="Arial" w:cs="Arial" w:eastAsia="Arial" w:hAnsi="Arial"/>
          <w:sz w:val="24"/>
          <w:szCs w:val="24"/>
        </w:rPr>
        <w:t xml:space="preserve">116. Метод стоимости передачи обязательства уместен только тогда, когда наиболее эффективным, с точки зрения ресурсов действием является поиск немедленной передачи обязанности. В частности, когда стоимость выполнения ниже, чем стоимость передачи, стоимость выполнения обеспечивает более уместную информацию, чем стоимость передачи.</w:t>
      </w:r>
    </w:p>
    <w:p>
      <w:pPr>
        <w:spacing w:after="200" w:before="200"/>
        <w:jc w:val="center"/>
      </w:pPr>
      <w:r>
        <w:rPr>
          <w:rFonts w:ascii="Arial" w:cs="Arial" w:eastAsia="Arial" w:hAnsi="Arial"/>
          <w:b/>
          <w:bCs/>
          <w:sz w:val="24"/>
          <w:szCs w:val="24"/>
        </w:rPr>
        <w:t xml:space="preserve">§ 5. Метод цены принятия обязательства</w:t>
      </w:r>
    </w:p>
    <w:p>
      <w:pPr>
        <w:spacing w:after="60"/>
        <w:ind w:firstLine="567"/>
        <w:jc w:val="both"/>
      </w:pPr>
      <w:r>
        <w:rPr>
          <w:rFonts w:ascii="Arial" w:cs="Arial" w:eastAsia="Arial" w:hAnsi="Arial"/>
          <w:sz w:val="24"/>
          <w:szCs w:val="24"/>
        </w:rPr>
        <w:t xml:space="preserve">117. В методе цены принятия обязательства, для оценки стоимости обязательства, используется цена принятия обязательства.</w:t>
      </w:r>
    </w:p>
    <w:p>
      <w:pPr>
        <w:spacing w:after="60"/>
        <w:ind w:firstLine="567"/>
        <w:jc w:val="both"/>
      </w:pPr>
      <w:r>
        <w:rPr>
          <w:rFonts w:ascii="Arial" w:cs="Arial" w:eastAsia="Arial" w:hAnsi="Arial"/>
          <w:sz w:val="24"/>
          <w:szCs w:val="24"/>
        </w:rPr>
        <w:t xml:space="preserve">Цена принятия обязательства - это обоснованная для организации сумма, в обмен на которую организация может принять существующее обязательство.</w:t>
      </w:r>
    </w:p>
    <w:p>
      <w:pPr>
        <w:spacing w:after="60"/>
        <w:ind w:firstLine="567"/>
        <w:jc w:val="both"/>
      </w:pPr>
      <w:r>
        <w:rPr>
          <w:rFonts w:ascii="Arial" w:cs="Arial" w:eastAsia="Arial" w:hAnsi="Arial"/>
          <w:sz w:val="24"/>
          <w:szCs w:val="24"/>
        </w:rPr>
        <w:t xml:space="preserve">118. Если обязательство возникает в результате безвозмездной операции то, цена принятия - это стоимость, в обмен на которую организация может принять обязательство.</w:t>
      </w:r>
    </w:p>
    <w:p>
      <w:pPr>
        <w:spacing w:after="60"/>
        <w:ind w:firstLine="567"/>
        <w:jc w:val="both"/>
      </w:pPr>
      <w:r>
        <w:rPr>
          <w:rFonts w:ascii="Arial" w:cs="Arial" w:eastAsia="Arial" w:hAnsi="Arial"/>
          <w:sz w:val="24"/>
          <w:szCs w:val="24"/>
        </w:rPr>
        <w:t xml:space="preserve">119. Когда стоимость исполнения потенциальной обязанности превышает цену принятия, например, когда требуется компенсация понесенных убытков и упущенной выгоды, тогда цена принятия обязательства не дает достоверную оценку стоимости обязательства.</w:t>
      </w:r>
    </w:p>
    <w:p>
      <w:pPr>
        <w:spacing w:after="200" w:before="200"/>
        <w:jc w:val="center"/>
      </w:pPr>
      <w:r>
        <w:rPr>
          <w:rFonts w:ascii="Arial" w:cs="Arial" w:eastAsia="Arial" w:hAnsi="Arial"/>
          <w:b/>
          <w:bCs/>
          <w:sz w:val="24"/>
          <w:szCs w:val="24"/>
        </w:rPr>
        <w:t xml:space="preserve">12. Представление финансовой отчетности</w:t>
      </w:r>
    </w:p>
    <w:p>
      <w:pPr>
        <w:spacing w:after="60"/>
        <w:ind w:firstLine="567"/>
        <w:jc w:val="both"/>
      </w:pPr>
      <w:r>
        <w:rPr>
          <w:rFonts w:ascii="Arial" w:cs="Arial" w:eastAsia="Arial" w:hAnsi="Arial"/>
          <w:sz w:val="24"/>
          <w:szCs w:val="24"/>
        </w:rPr>
        <w:t xml:space="preserve">120. Представление финансовой отчетности - это выбор, размещение и организация информации, которая официально предоставляется в финансовой отчетности и соответствует качественным характеристикам информации с учетом ограничений на информацию, включенную в финансовую отчетность.</w:t>
      </w:r>
    </w:p>
    <w:p>
      <w:pPr>
        <w:spacing w:after="60"/>
        <w:ind w:firstLine="567"/>
        <w:jc w:val="both"/>
      </w:pPr>
      <w:r>
        <w:rPr>
          <w:rFonts w:ascii="Arial" w:cs="Arial" w:eastAsia="Arial" w:hAnsi="Arial"/>
          <w:sz w:val="24"/>
          <w:szCs w:val="24"/>
        </w:rPr>
        <w:t xml:space="preserve">121. Решения по выбору, размещению и организации информации принимаются в соответствии с потребностями пользователей информации.</w:t>
      </w:r>
    </w:p>
    <w:p>
      <w:pPr>
        <w:spacing w:after="60"/>
        <w:ind w:firstLine="567"/>
        <w:jc w:val="both"/>
      </w:pPr>
      <w:r>
        <w:rPr>
          <w:rFonts w:ascii="Arial" w:cs="Arial" w:eastAsia="Arial" w:hAnsi="Arial"/>
          <w:sz w:val="24"/>
          <w:szCs w:val="24"/>
        </w:rPr>
        <w:t xml:space="preserve">Решения по представлению информации могут:</w:t>
      </w:r>
    </w:p>
    <w:p>
      <w:pPr>
        <w:spacing w:after="60"/>
        <w:ind w:firstLine="567"/>
        <w:jc w:val="both"/>
      </w:pPr>
      <w:r>
        <w:rPr>
          <w:rFonts w:ascii="Arial" w:cs="Arial" w:eastAsia="Arial" w:hAnsi="Arial"/>
          <w:sz w:val="24"/>
          <w:szCs w:val="24"/>
        </w:rPr>
        <w:t xml:space="preserve">- приводить к разработке новой финансовой отчетности, перемещению информации между отчетами или объединению существующих отчетов; или</w:t>
      </w:r>
    </w:p>
    <w:p>
      <w:pPr>
        <w:spacing w:after="60"/>
        <w:ind w:firstLine="567"/>
        <w:jc w:val="both"/>
      </w:pPr>
      <w:r>
        <w:rPr>
          <w:rFonts w:ascii="Arial" w:cs="Arial" w:eastAsia="Arial" w:hAnsi="Arial"/>
          <w:sz w:val="24"/>
          <w:szCs w:val="24"/>
        </w:rPr>
        <w:t xml:space="preserve">- быть подробными решениями по выбору, расположению и организации информации в рамках финансовой отчетности.</w:t>
      </w:r>
    </w:p>
    <w:p>
      <w:pPr>
        <w:spacing w:after="60"/>
        <w:ind w:firstLine="567"/>
        <w:jc w:val="both"/>
      </w:pPr>
      <w:r>
        <w:rPr>
          <w:rFonts w:ascii="Arial" w:cs="Arial" w:eastAsia="Arial" w:hAnsi="Arial"/>
          <w:sz w:val="24"/>
          <w:szCs w:val="24"/>
        </w:rPr>
        <w:t xml:space="preserve">122. Официальными языками представления финансовой отчетности в Кыргызской Республике являются кыргызский и русский языки. При необходимости финансовая отчетность переводится на другой язык.</w:t>
      </w:r>
    </w:p>
    <w:p>
      <w:pPr>
        <w:spacing w:after="60"/>
        <w:ind w:firstLine="567"/>
        <w:jc w:val="both"/>
      </w:pPr>
      <w:r>
        <w:rPr>
          <w:rFonts w:ascii="Arial" w:cs="Arial" w:eastAsia="Arial" w:hAnsi="Arial"/>
          <w:sz w:val="24"/>
          <w:szCs w:val="24"/>
        </w:rPr>
        <w:t xml:space="preserve">123. Информация, представленная в финансовой отчетности, делится на информацию для отображения и информацию для раскрытия.</w:t>
      </w:r>
    </w:p>
    <w:p>
      <w:pPr>
        <w:spacing w:after="60"/>
        <w:ind w:firstLine="567"/>
        <w:jc w:val="both"/>
      </w:pPr>
      <w:r>
        <w:rPr>
          <w:rFonts w:ascii="Arial" w:cs="Arial" w:eastAsia="Arial" w:hAnsi="Arial"/>
          <w:sz w:val="24"/>
          <w:szCs w:val="24"/>
        </w:rPr>
        <w:t xml:space="preserve">124. Информация для отображения представлена Отчетом о финансовом положении, Отчетом о финансовых результатах деятельности, Отчетом о движении денежных средств, Отчетом об изменении чистых активов, Бюджетной информацией.</w:t>
      </w:r>
    </w:p>
    <w:p>
      <w:pPr>
        <w:spacing w:after="60"/>
        <w:ind w:firstLine="567"/>
        <w:jc w:val="both"/>
      </w:pPr>
      <w:r>
        <w:rPr>
          <w:rFonts w:ascii="Arial" w:cs="Arial" w:eastAsia="Arial" w:hAnsi="Arial"/>
          <w:sz w:val="24"/>
          <w:szCs w:val="24"/>
        </w:rPr>
        <w:t xml:space="preserve">Информация для отображения, содержит ссылки на информацию для раскрытия, содержащуюся в Примечаниях к финансовой отчетности.</w:t>
      </w:r>
    </w:p>
    <w:p>
      <w:pPr>
        <w:spacing w:after="60"/>
        <w:ind w:firstLine="567"/>
        <w:jc w:val="both"/>
      </w:pPr>
      <w:r>
        <w:rPr>
          <w:rFonts w:ascii="Arial" w:cs="Arial" w:eastAsia="Arial" w:hAnsi="Arial"/>
          <w:sz w:val="24"/>
          <w:szCs w:val="24"/>
        </w:rPr>
        <w:t xml:space="preserve">125. Информация для раскрытия, делает отображаемую информацию более полезной, предоставляя детали, которые помогут пользователям понять информацию для отображения.</w:t>
      </w:r>
    </w:p>
    <w:p>
      <w:pPr>
        <w:spacing w:after="60"/>
        <w:ind w:firstLine="567"/>
        <w:jc w:val="both"/>
      </w:pPr>
      <w:r>
        <w:rPr>
          <w:rFonts w:ascii="Arial" w:cs="Arial" w:eastAsia="Arial" w:hAnsi="Arial"/>
          <w:sz w:val="24"/>
          <w:szCs w:val="24"/>
        </w:rPr>
        <w:t xml:space="preserve">126. Информация для раскрытия отображается в Примечаниях к финансовой отчетности.</w:t>
      </w:r>
    </w:p>
    <w:p>
      <w:pPr>
        <w:spacing w:after="60"/>
        <w:ind w:firstLine="567"/>
        <w:jc w:val="both"/>
      </w:pPr>
      <w:r>
        <w:rPr>
          <w:rFonts w:ascii="Arial" w:cs="Arial" w:eastAsia="Arial" w:hAnsi="Arial"/>
          <w:sz w:val="24"/>
          <w:szCs w:val="24"/>
        </w:rPr>
        <w:t xml:space="preserve">В Примечаниях к финансовой отчетности раскрывается информация, необходимая для понимания пользователями финансовой отчетности; детализируется информация для отображения; раскрывается информация о деятельности организации и текущих внешних условиях; другая полезная для пользователей финансовой отчетности информация.</w:t>
      </w:r>
    </w:p>
    <w:p>
      <w:pPr>
        <w:spacing w:after="60"/>
        <w:ind w:firstLine="567"/>
        <w:jc w:val="both"/>
      </w:pPr>
      <w:r>
        <w:rPr>
          <w:rFonts w:ascii="Arial" w:cs="Arial" w:eastAsia="Arial" w:hAnsi="Arial"/>
          <w:sz w:val="24"/>
          <w:szCs w:val="24"/>
        </w:rPr>
        <w:t xml:space="preserve">Также, в Примечаниях к финансовой отчетности раскрывается информация о применяемой учетной политике, об объектах, которые не соответствуют полностью определению элемента финансовой отчетности, об объектах, которые не соответствуют критериям признания.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iys7onqcujopgzsivri">
      <w:r>
        <w:rPr>
          <w:rFonts w:ascii="Arial" w:cs="Arial" w:eastAsia="Arial" w:hAnsi="Arial"/>
          <w:color w:val="132D3F"/>
          <w:sz w:val="16"/>
          <w:szCs w:val="16"/>
          <w:u w:val="single"/>
        </w:rPr>
        <w:t xml:space="preserve">dalil.kg/document/160157</w:t>
      </w:r>
    </w:hyperlink>
  </w:p>
  <w:p>
    <w:pPr>
      <w:spacing w:after="0" w:before="40"/>
      <w:jc w:val="center"/>
    </w:pPr>
    <w:hyperlink w:history="1" r:id="rIdzk5gxdegwwmh-b3nzfeq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it7-6qxxw-pampgmxu-h" Type="http://schemas.openxmlformats.org/officeDocument/2006/relationships/hyperlink" Target="https://dalil.kg/document/230003710" TargetMode="External"/><Relationship Id="rIds7niykizdvwyhkrwihea7" Type="http://schemas.openxmlformats.org/officeDocument/2006/relationships/hyperlink" Target="https://dalil.kg/document/230035253" TargetMode="External"/><Relationship Id="rIdigslo4_afk6dpiu62v7bb" Type="http://schemas.openxmlformats.org/officeDocument/2006/relationships/hyperlink" Target="https://dalil.kg/document/1032#st_1" TargetMode="External"/><Relationship Id="rIdfkt_mbhvbywsnb7n3jrys" Type="http://schemas.openxmlformats.org/officeDocument/2006/relationships/hyperlink" Target="https://dalil.kg/document/1032#st_5" TargetMode="External"/><Relationship Id="rIdj98_7bx37gx7atbfo8b0j" Type="http://schemas.openxmlformats.org/officeDocument/2006/relationships/hyperlink" Target="https://dalil.kg/document/112301#st_13" TargetMode="External"/><Relationship Id="rIdjxsg20pr72mgfszvsgmah" Type="http://schemas.openxmlformats.org/officeDocument/2006/relationships/hyperlink" Target="https://dalil.kg/document/112301#st_17" TargetMode="External"/><Relationship Id="rIdktk_krdaqkqiqiwhqaajw" Type="http://schemas.openxmlformats.org/officeDocument/2006/relationships/hyperlink" Target="https://dalil.kg/document/160158" TargetMode="External"/><Relationship Id="rIddtanr3zbnvnvn_iqfw2rz" Type="http://schemas.openxmlformats.org/officeDocument/2006/relationships/hyperlink" Target="https://dalil.kg/document/160159" TargetMode="External"/><Relationship Id="rIdin0rxz2s5zdbqdqcshcvc" Type="http://schemas.openxmlformats.org/officeDocument/2006/relationships/hyperlink" Target="https://dalil.kg/document/160160" TargetMode="External"/><Relationship Id="rIdw6fwxzxgnpbrxur5vvae3" Type="http://schemas.openxmlformats.org/officeDocument/2006/relationships/hyperlink" Target="https://dalil.kg/document/160161" TargetMode="External"/><Relationship Id="rIdp-k42j1vuifbb2kvlhhpn" Type="http://schemas.openxmlformats.org/officeDocument/2006/relationships/hyperlink" Target="https://dalil.kg/document/160162" TargetMode="External"/><Relationship Id="rIdhh_q4-qryh4w_xjxj5edj" Type="http://schemas.openxmlformats.org/officeDocument/2006/relationships/hyperlink" Target="https://dalil.kg/document/160163" TargetMode="External"/><Relationship Id="rIdz1-qwu7-3zgcy6buzdxns" Type="http://schemas.openxmlformats.org/officeDocument/2006/relationships/hyperlink" Target="https://dalil.kg/document/160164" TargetMode="External"/><Relationship Id="rIdnhc3b6l5fhiallqjbldxj" Type="http://schemas.openxmlformats.org/officeDocument/2006/relationships/hyperlink" Target="https://dalil.kg/document/160165" TargetMode="External"/><Relationship Id="rIdkjtkmxzp_lnckuqasnvzg" Type="http://schemas.openxmlformats.org/officeDocument/2006/relationships/hyperlink" Target="https://dalil.kg/document/94900" TargetMode="External"/><Relationship Id="rIdagag6sbl-de4otv0y47i9" Type="http://schemas.openxmlformats.org/officeDocument/2006/relationships/hyperlink" Target="https://dalil.kg/document/230003710" TargetMode="External"/><Relationship Id="rIdxkaclxaeg_o5lsqlgy-9p" Type="http://schemas.openxmlformats.org/officeDocument/2006/relationships/hyperlink" Target="https://dalil.kg/document/230035253" TargetMode="External"/><Relationship Id="rIdes1pjwpgvpkmbnv8yeqvg" Type="http://schemas.openxmlformats.org/officeDocument/2006/relationships/hyperlink" Target="https://dalil.kg/document/111338#st_119" TargetMode="External"/><Relationship Id="rId3chpwkyrmt2cti_u7zley" Type="http://schemas.openxmlformats.org/officeDocument/2006/relationships/hyperlink" Target="https://dalil.kg/document/1032#st_1" TargetMode="External"/><Relationship Id="rIdznscan2q6skh46qildzek" Type="http://schemas.openxmlformats.org/officeDocument/2006/relationships/hyperlink" Target="https://dalil.kg/document/1032#st_6" TargetMode="External"/><Relationship Id="rIdpzaztxy-gxdsbhuqcfrql" Type="http://schemas.openxmlformats.org/officeDocument/2006/relationships/hyperlink" Target="https://dalil.kg/document/111338" TargetMode="External"/><Relationship Id="rId4ulukkcvuqg4xuqfg8pl0" Type="http://schemas.openxmlformats.org/officeDocument/2006/relationships/hyperlink" Target="https://dalil.kg/document/1032" TargetMode="External"/><Relationship Id="rId1qfqj4lyb5flytpyu52nl" Type="http://schemas.openxmlformats.org/officeDocument/2006/relationships/hyperlink" Target="https://dalil.kg/document/111338" TargetMode="External"/><Relationship Id="rId1fismsen3a_ojsrx9lr_c" Type="http://schemas.openxmlformats.org/officeDocument/2006/relationships/hyperlink" Target="https://dalil.kg/document/103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iys7onqcujopgzsivri" Type="http://schemas.openxmlformats.org/officeDocument/2006/relationships/hyperlink" Target="https://dalil.kg/document/160157" TargetMode="External"/><Relationship Id="rIdzk5gxdegwwmh-b3nzfeq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2026-09-27T03:24:21.484Z</dcterms:created>
  <dcterms:modified xsi:type="dcterms:W3CDTF">2026-09-27T03:24:21.484Z</dcterms:modified>
</cp:coreProperties>
</file>

<file path=docProps/custom.xml><?xml version="1.0" encoding="utf-8"?>
<Properties xmlns="http://schemas.openxmlformats.org/officeDocument/2006/custom-properties" xmlns:vt="http://schemas.openxmlformats.org/officeDocument/2006/docPropsVTypes"/>
</file>