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otcm1v7zpslh5ovxh1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4 "Влияние изменений обменных курсов"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4 "Влияние изменений обменных курсов" (далее - СФООСГУ 4) разработан в соответствии с пунктом 2 </w:t>
      </w:r>
      <w:hyperlink w:history="1" r:id="rIdzssrpsnrondodzdbqx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dylndjgyudaggqw1cv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xwce0jjywaf0lchoj1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4 "Влияние изменений обменных курсов" (далее - МСФООС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4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4 устанавливает порядок пересчета стоимости объектов бухгалтерского учета, выраженной в иностранной валюте, в валюту Кыргызской Республики, порядок учета деятельности загранучреждений, а также порядок раскрытия информации. Порядок оценки стоимости объектов бухгалтерского учета определяется соответствующими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представлению в отчете о движении денежных средств денежных потоков, возникающих по операциям в иностранной валюте, установлены в СФООСГУ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СФООСГУ 4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курсовая разница </w:t>
      </w:r>
      <w:r>
        <w:rPr>
          <w:rFonts w:ascii="Arial" w:cs="Arial" w:eastAsia="Arial" w:hAnsi="Arial"/>
          <w:sz w:val="24"/>
          <w:szCs w:val="24"/>
        </w:rPr>
        <w:t xml:space="preserve">- разница, возникающая при пересчете определенного количества денежных единиц в одной валюте в другую валюту с использованием разных обменных курсов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обменный курс</w:t>
      </w:r>
      <w:r>
        <w:rPr>
          <w:rFonts w:ascii="Arial" w:cs="Arial" w:eastAsia="Arial" w:hAnsi="Arial"/>
          <w:sz w:val="24"/>
          <w:szCs w:val="24"/>
        </w:rPr>
        <w:t xml:space="preserve"> - официальный курс иностранной валюты по отношению к национальной валюте, установленный Национальным Банком Кыргызской Республики, при отсутствии официального курса - курс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зарубежная деятельность (организация)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организацией, которая является контролируемой, либо ассоциированной, либо совместной, либо филиалом отчитывающейся организации за границей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монетарные статьи</w:t>
      </w:r>
      <w:r>
        <w:rPr>
          <w:rFonts w:ascii="Arial" w:cs="Arial" w:eastAsia="Arial" w:hAnsi="Arial"/>
          <w:sz w:val="24"/>
          <w:szCs w:val="24"/>
        </w:rPr>
        <w:t xml:space="preserve"> - имеющиеся денежные средства, активы и обязательства к получению или выплате в фиксированных или устанавливаемых суммах денежных средств, выраженных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валютные немонетарные статьи</w:t>
      </w:r>
      <w:r>
        <w:rPr>
          <w:rFonts w:ascii="Arial" w:cs="Arial" w:eastAsia="Arial" w:hAnsi="Arial"/>
          <w:sz w:val="24"/>
          <w:szCs w:val="24"/>
        </w:rPr>
        <w:t xml:space="preserve"> - активы и обязательства, выраженные в иностранной валюте, и не относящиеся согласно настоящему СФООСГУ 4 к валютным монетарным статьям;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чистые инвестиции в зарубежную деятельность</w:t>
      </w:r>
      <w:r>
        <w:rPr>
          <w:rFonts w:ascii="Arial" w:cs="Arial" w:eastAsia="Arial" w:hAnsi="Arial"/>
          <w:sz w:val="24"/>
          <w:szCs w:val="24"/>
        </w:rPr>
        <w:t xml:space="preserve"> - доля отчитывающейся организации в чистых активах зарубежной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операция в иностранной валюте</w:t>
      </w:r>
      <w:r>
        <w:rPr>
          <w:rFonts w:ascii="Arial" w:cs="Arial" w:eastAsia="Arial" w:hAnsi="Arial"/>
          <w:sz w:val="24"/>
          <w:szCs w:val="24"/>
        </w:rPr>
        <w:t xml:space="preserve"> - это операция, расчеты по которой осуществляются в иностранной валюте, включая операции, возникающие, когда организация: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покупает или продает товары или услуги, стоимость которых выражена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предоставляет займы или привлекает средства, суммы которых, подлежащие уплате или получению, выражены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каким-либо другим образом приобретает или реализует активы, или принимает на себя, или погашает обязательства, выраженные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Термины, определенные в других СФООСГУ, используются в настоящем СФООСГУ 4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пересчета стоимости объектов бухгалтерского учета, выраженной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в иностранной валюте при первоначальном признании должна отражаться в национальной валюте Кыргызской Республики путем применения к сумме операции в иностранной валюте обменного курса на дату совершения операции или обменного курса по сделке для операций купли-продажи валюты. В бухгалтерском учете стоимость валютных монетарных и немонетарных статей дополнительно отражается в иностранной валюте. Датой операции является дата, на которую операция впервые соответствует критериям признания, предусмотренным соответствующими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Последующая оценка проводится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валютные монетарные статьи пересчитываются с использованием обменного курса на каждую отчетную дату или на дату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валютные немонетарные статьи, учтенные по исторической стоимости, не пересчитываются;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валютные немонетарные статьи, оцениваемые по справедливой стоимости, пересчитываются по обменному курсу, действующему на дату определения справедливой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Курсовые разницы, возникающие при последующей оценке валютных монетарных статей (кроме валютных монетарных статьей, составляющих часть чистых инвестиций отчитывающейся организации в зарубежную деятельность), подлежат признанию в составе прочих доходов и расходов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Когда прибыль/убыток, возникающая в связи с оценкой справедливой стоимости валютной немонетарной статьи на конец отчетного периода, признается в составе чистых активов, то часть прибыли/убытка, возникшая вследствие курсовой разницы, также признается в составе чистых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прибыль/убыток, возникающая в связи с оценкой справедливой стоимости валютной немонетарной статьи на конец отчетного периода, признается в составе доходов и расходов, то часть прибыли/убытка, возникшая вследствие курсовой разницы, также признается в составе доходов или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Курсовые разницы, возникающие в связи с пересчетом валютных монетарных статьей, составляющих часть чистых инвестиций отчитывающейся организации в зарубежную деятельность, должны признаваться в составе доходов или расходов в отдельной финансовой отчетности отчитывающейся организации, если такая отчетность составляется, и индивидуальной финансовой отчетности зарубежной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консолидированной финансовой отчетности, которая охватывает деятельность отчитывающейся и зарубежной организации, курсовые разницы должны первоначально признаваться в отдельном компоненте чистых активов, а при учете операций по выбытию зарубежной организации общая сумма курсовых разниц, признанная в качестве отдельного компонента чистых активов, относящегося к этой зарубежной организации, должна признаваться в составе доходов или расходов в том же периоде, когда признается прибыль или убыток от выбытия.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должна раскрывать: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сумму курсовых разниц, признанных в составе доходов или расходов, за исключением сумм, возникающих по финансовым инструментам, учитываемым по справедливой стоимости, через доходы или расходы, в соответствии с СФООСГУ определяющим порядок учета финансовых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совокупные курсовые разницы, признанные в отдельном компоненте чистых активов, и сверку сумм таких курсовых разниц на начало и конец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Первое применение настоящего СФООСГУ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при первом применении СФООСГУ 4 не должна в финансовой отчетности предоставлять сравнительную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применяет настоящий СФООСГУ 4 во всех отчетных периодах начиная с даты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Стоимость немонетарных активов и обязательств, оплаченных до даты перехода на СФООСГУ 4 и признаваемых после перехода на СФООСГУ 4, рассчитывается на дату признания по курсу на момент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3whrnwqisspjpq-v-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dalil.kg/document/160161</w:t>
      </w:r>
    </w:hyperlink>
  </w:p>
  <w:p>
    <w:pPr>
      <w:spacing w:after="0" w:before="40"/>
      <w:jc w:val="center"/>
    </w:pPr>
    <w:hyperlink w:history="1" r:id="rId3nld1s8cuqomtdxs47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tcm1v7zpslh5ovxh1k-" Type="http://schemas.openxmlformats.org/officeDocument/2006/relationships/hyperlink" Target="https://dalil.kg/document/160157" TargetMode="External"/><Relationship Id="rIdzssrpsnrondodzdbqxs2h" Type="http://schemas.openxmlformats.org/officeDocument/2006/relationships/hyperlink" Target="https://dalil.kg/document/111338#st_119" TargetMode="External"/><Relationship Id="rIddylndjgyudaggqw1cvedn" Type="http://schemas.openxmlformats.org/officeDocument/2006/relationships/hyperlink" Target="https://dalil.kg/document/1032#st_1" TargetMode="External"/><Relationship Id="rIdxwce0jjywaf0lchoj1qae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3whrnwqisspjpq-v-kn" Type="http://schemas.openxmlformats.org/officeDocument/2006/relationships/hyperlink" Target="https://dalil.kg/document/160161" TargetMode="External"/><Relationship Id="rId3nld1s8cuqomtdxs47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2026-09-27T03:45:58.839Z</dcterms:created>
  <dcterms:modified xsi:type="dcterms:W3CDTF">2026-09-27T03:45:58.839Z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