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psbsqygjk0dwryeekgp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13 января 2023 года № 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финансовой отчетности организаций сектора государственного управления 5 "Затраты по заимствованиям"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Стандарт финансовой отчетности организаций сектора государственного управления 5 "Затраты по заимствованиям" (далее - СФООСГУ 5) разработан в соответствии с пунктом 2 </w:t>
      </w:r>
      <w:hyperlink w:history="1" r:id="rIdys8c5lipsvzc-_ul21y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пунктом 2-1 </w:t>
      </w:r>
      <w:hyperlink w:history="1" r:id="rIdo_7wl_gclrqm3fyof_7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2 </w:t>
      </w:r>
      <w:hyperlink w:history="1" r:id="rIdwdqhjpshdmzzfcyhtyd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бухгалтерском учете", с учетом требований Международных стандартов финансовой отчетности для общественного сектора 5 "Затраты по займам" (далее - МСФООС 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СФООСГУ 5 обязателен к применению государственными органами, органами системы государственного социального страхования и пенсионного обеспечения, органами местного самоуправления, их подведомственными организациями, бюджетными учреждениями (далее - организация).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СФООСГУ 5 устанавливает порядок отражения в бухгалтерском учете и представления в финансовой отчетности информации о затратах по заимствованиям.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СФООСГУ 5 используются следующие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затраты по заимствованиям</w:t>
      </w:r>
      <w:r>
        <w:rPr>
          <w:rFonts w:ascii="Arial" w:cs="Arial" w:eastAsia="Arial" w:hAnsi="Arial"/>
          <w:sz w:val="24"/>
          <w:szCs w:val="24"/>
        </w:rPr>
        <w:t xml:space="preserve"> - это процентные и прочие расходы, понесенные организацией в связи с получением заемных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процентные расходы</w:t>
      </w:r>
      <w:r>
        <w:rPr>
          <w:rFonts w:ascii="Arial" w:cs="Arial" w:eastAsia="Arial" w:hAnsi="Arial"/>
          <w:sz w:val="24"/>
          <w:szCs w:val="24"/>
        </w:rPr>
        <w:t xml:space="preserve">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процентные расходы по полученным заемным средствам;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финансовые затраты, связанные с финансовой арендой и концессионными соглашениями на оказание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курсовые разницы, возникающие при пересчете задолженности по процентам на займы в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процентные расходы, возникшие в связи с отсрочкой платежа при приобретении товаров, работ,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прочие расходы по заимствованиям</w:t>
      </w:r>
      <w:r>
        <w:rPr>
          <w:rFonts w:ascii="Arial" w:cs="Arial" w:eastAsia="Arial" w:hAnsi="Arial"/>
          <w:sz w:val="24"/>
          <w:szCs w:val="24"/>
        </w:rPr>
        <w:t xml:space="preserve">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затраты организатора привлечения заемных средств, юридические, консультационные и иные услуги, непосредственно связанные с получением заемных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учета затрат по заимствованиям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Затраты по заимствованиям признаются в качестве расходов того периода, в котором они понесены.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Раскрытие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финансовой отчетности раскрывается: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учетная политика, принятая для отражения затрат по заимствованиям;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признанные в отчетном периоде затраты по заимствованиям;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величина обязательств на затраты по заимствованиям на начало и конец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vz_kgeqg_y133rkqw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dalil.kg/document/160162</w:t>
      </w:r>
    </w:hyperlink>
  </w:p>
  <w:p>
    <w:pPr>
      <w:spacing w:after="0" w:before="40"/>
      <w:jc w:val="center"/>
    </w:pPr>
    <w:hyperlink w:history="1" r:id="rId9lrxiglxh87wpaahzkp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bsqygjk0dwryeekgpuj" Type="http://schemas.openxmlformats.org/officeDocument/2006/relationships/hyperlink" Target="https://dalil.kg/document/160157" TargetMode="External"/><Relationship Id="rIdys8c5lipsvzc-_ul21y1c" Type="http://schemas.openxmlformats.org/officeDocument/2006/relationships/hyperlink" Target="https://dalil.kg/document/111338#st_119" TargetMode="External"/><Relationship Id="rIdo_7wl_gclrqm3fyof_7uc" Type="http://schemas.openxmlformats.org/officeDocument/2006/relationships/hyperlink" Target="https://dalil.kg/document/1032#st_1" TargetMode="External"/><Relationship Id="rIdwdqhjpshdmzzfcyhtydec" Type="http://schemas.openxmlformats.org/officeDocument/2006/relationships/hyperlink" Target="https://dalil.kg/document/1032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vz_kgeqg_y133rkqwzl" Type="http://schemas.openxmlformats.org/officeDocument/2006/relationships/hyperlink" Target="https://dalil.kg/document/160162" TargetMode="External"/><Relationship Id="rId9lrxiglxh87wpaahzkp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2026-09-27T03:45:59.609Z</dcterms:created>
  <dcterms:modified xsi:type="dcterms:W3CDTF">2026-09-27T03:45:59.609Z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