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jkx9zkgnexn0pxc1locg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16 декабря 2022 года № 703)</w:t>
      </w:r>
    </w:p>
    <w:p>
      <w:pPr>
        <w:spacing w:after="400" w:before="400"/>
        <w:jc w:val="center"/>
      </w:pPr>
      <w:r>
        <w:rPr>
          <w:rFonts w:ascii="Arial" w:cs="Arial" w:eastAsia="Arial" w:hAnsi="Arial"/>
          <w:b/>
          <w:bCs/>
          <w:sz w:val="28"/>
          <w:szCs w:val="28"/>
        </w:rPr>
        <w:t xml:space="preserve">КОНЦЕПЦИЯ</w:t>
      </w:r>
      <w:r>
        <w:rPr>
          <w:rFonts w:ascii="Arial" w:cs="Arial" w:eastAsia="Arial" w:hAnsi="Arial"/>
          <w:b/>
          <w:bCs/>
          <w:sz w:val="28"/>
          <w:szCs w:val="28"/>
        </w:rPr>
        <w:t xml:space="preserve">
 совершенствования системы оплаты труда работников бюджетной сферы Кыргызской Республики на период до 2026 года</w:t>
      </w:r>
    </w:p>
    <w:p>
      <w:pPr>
        <w:spacing w:after="200" w:before="200"/>
        <w:jc w:val="center"/>
      </w:pPr>
      <w:r>
        <w:rPr>
          <w:rFonts w:ascii="Arial" w:cs="Arial" w:eastAsia="Arial" w:hAnsi="Arial"/>
          <w:b/>
          <w:bCs/>
          <w:sz w:val="24"/>
          <w:szCs w:val="24"/>
        </w:rPr>
        <w:t xml:space="preserve">Глава 1. Анализ текущей ситуации</w:t>
      </w:r>
    </w:p>
    <w:p>
      <w:pPr>
        <w:spacing w:after="60"/>
        <w:ind w:firstLine="567"/>
        <w:jc w:val="both"/>
      </w:pPr>
      <w:r>
        <w:rPr>
          <w:rFonts w:ascii="Arial" w:cs="Arial" w:eastAsia="Arial" w:hAnsi="Arial"/>
          <w:sz w:val="24"/>
          <w:szCs w:val="24"/>
        </w:rPr>
        <w:t xml:space="preserve">В отраслях бюджетной сферы занято более 13% экономически активного населения страны. Основным источником денежного дохода работников бюджетной сферы является заработная плата.</w:t>
      </w:r>
    </w:p>
    <w:p>
      <w:pPr>
        <w:spacing w:after="60"/>
        <w:ind w:firstLine="567"/>
        <w:jc w:val="both"/>
      </w:pPr>
      <w:r>
        <w:rPr>
          <w:rFonts w:ascii="Arial" w:cs="Arial" w:eastAsia="Arial" w:hAnsi="Arial"/>
          <w:sz w:val="24"/>
          <w:szCs w:val="24"/>
        </w:rPr>
        <w:t xml:space="preserve">В настоящее время общая штатная численность работников бюджетной сферы составляет 365,8 тыс. единиц. Общий фонд оплаты труда работников бюджетной сферы на 2022 год составляет 69,4 млрд. сомов. Средний размер заработной платы работников бюджетной сферы, по данным Национального статистического комитета Кыргызской Республики, в 2021 году составил 15300 сомов при средней заработной плате по республике - 19635 сомов.</w:t>
      </w:r>
    </w:p>
    <w:p>
      <w:pPr>
        <w:spacing w:after="60"/>
        <w:ind w:firstLine="567"/>
        <w:jc w:val="both"/>
      </w:pPr>
      <w:r>
        <w:rPr>
          <w:rFonts w:ascii="Arial" w:cs="Arial" w:eastAsia="Arial" w:hAnsi="Arial"/>
          <w:sz w:val="24"/>
          <w:szCs w:val="24"/>
        </w:rPr>
        <w:t xml:space="preserve">В целях совершенствования условий оплаты труда работников бюджетной сферы Кыргызской Республики принят </w:t>
      </w:r>
      <w:hyperlink w:history="1" r:id="rIdctxj749hxvravgw-stup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совершенствовании условий оплаты труда работников бюджетной сферы Кыргызской Республики" от 28 марта 2022 года № 95. Согласно </w:t>
      </w:r>
      <w:hyperlink w:history="1" r:id="rIdh8axbgaedpm5_ccqy-hze">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установлена единая модель формирования заработной платы в секторе государственного управления.</w:t>
      </w:r>
    </w:p>
    <w:p>
      <w:pPr>
        <w:spacing w:after="60"/>
        <w:ind w:firstLine="567"/>
        <w:jc w:val="both"/>
      </w:pPr>
      <w:r>
        <w:rPr>
          <w:rFonts w:ascii="Arial" w:cs="Arial" w:eastAsia="Arial" w:hAnsi="Arial"/>
          <w:sz w:val="24"/>
          <w:szCs w:val="24"/>
        </w:rPr>
        <w:t xml:space="preserve">В целях реализации данного </w:t>
      </w:r>
      <w:hyperlink w:history="1" r:id="rIdywh6kvy21w36q8ede8stg">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принято 25 новых нормативных правовых актов Кыргызской Республики, ранее действовавшие в сфере оплаты труда нормативные правовые акты Кыргызской Республики признаны утратившими силу.</w:t>
      </w:r>
    </w:p>
    <w:p>
      <w:pPr>
        <w:spacing w:after="60"/>
        <w:ind w:firstLine="567"/>
        <w:jc w:val="both"/>
      </w:pPr>
      <w:r>
        <w:rPr>
          <w:rFonts w:ascii="Arial" w:cs="Arial" w:eastAsia="Arial" w:hAnsi="Arial"/>
          <w:sz w:val="24"/>
          <w:szCs w:val="24"/>
        </w:rPr>
        <w:t xml:space="preserve">Настоящая Концепция разработана в целях совершенствования системы оплаты труда работников бюджетной сферы и реализации вышеназванного Указа.</w:t>
      </w:r>
    </w:p>
    <w:p>
      <w:pPr>
        <w:spacing w:after="60"/>
        <w:ind w:firstLine="567"/>
        <w:jc w:val="both"/>
      </w:pPr>
      <w:r>
        <w:rPr>
          <w:rFonts w:ascii="Arial" w:cs="Arial" w:eastAsia="Arial" w:hAnsi="Arial"/>
          <w:sz w:val="24"/>
          <w:szCs w:val="24"/>
        </w:rPr>
        <w:t xml:space="preserve">В Концепции представлены задачи и направления совершенствования системы оплаты труда, которые будут способствовать внедрению единой модели формирования системы оплаты труда работников бюджетной сферы Кыргызской Республики.</w:t>
      </w:r>
    </w:p>
    <w:p>
      <w:pPr>
        <w:spacing w:after="60"/>
        <w:ind w:firstLine="567"/>
        <w:jc w:val="both"/>
      </w:pPr>
      <w:r>
        <w:rPr>
          <w:rFonts w:ascii="Arial" w:cs="Arial" w:eastAsia="Arial" w:hAnsi="Arial"/>
          <w:sz w:val="24"/>
          <w:szCs w:val="24"/>
        </w:rPr>
        <w:t xml:space="preserve">Ранее система оплаты труда работников бюджетной сферы регулировалась более чем 50 нормативными правовыми актами, которые определяли:</w:t>
      </w:r>
    </w:p>
    <w:p>
      <w:pPr>
        <w:spacing w:after="60"/>
        <w:ind w:firstLine="567"/>
        <w:jc w:val="both"/>
      </w:pPr>
      <w:r>
        <w:rPr>
          <w:rFonts w:ascii="Arial" w:cs="Arial" w:eastAsia="Arial" w:hAnsi="Arial"/>
          <w:sz w:val="24"/>
          <w:szCs w:val="24"/>
        </w:rPr>
        <w:t xml:space="preserve">1) условия оплаты труда работников государственной и муниципальной службы;</w:t>
      </w:r>
    </w:p>
    <w:p>
      <w:pPr>
        <w:spacing w:after="60"/>
        <w:ind w:firstLine="567"/>
        <w:jc w:val="both"/>
      </w:pPr>
      <w:r>
        <w:rPr>
          <w:rFonts w:ascii="Arial" w:cs="Arial" w:eastAsia="Arial" w:hAnsi="Arial"/>
          <w:sz w:val="24"/>
          <w:szCs w:val="24"/>
        </w:rPr>
        <w:t xml:space="preserve">2) условия оплаты труда военнослужащих и сотрудников правоохранительных органов;</w:t>
      </w:r>
    </w:p>
    <w:p>
      <w:pPr>
        <w:spacing w:after="60"/>
        <w:ind w:firstLine="567"/>
        <w:jc w:val="both"/>
      </w:pPr>
      <w:r>
        <w:rPr>
          <w:rFonts w:ascii="Arial" w:cs="Arial" w:eastAsia="Arial" w:hAnsi="Arial"/>
          <w:sz w:val="24"/>
          <w:szCs w:val="24"/>
        </w:rPr>
        <w:t xml:space="preserve">3) условия оплаты труда работников социальной сферы (образование, наука, здравоохранение, социальная защита, культура, искусство, физкультура и спорт).</w:t>
      </w:r>
    </w:p>
    <w:p>
      <w:pPr>
        <w:spacing w:after="60"/>
        <w:ind w:firstLine="567"/>
        <w:jc w:val="both"/>
      </w:pPr>
      <w:r>
        <w:rPr>
          <w:rFonts w:ascii="Arial" w:cs="Arial" w:eastAsia="Arial" w:hAnsi="Arial"/>
          <w:sz w:val="24"/>
          <w:szCs w:val="24"/>
        </w:rPr>
        <w:t xml:space="preserve">При этом, данная структура не имела четкого разделения, вводились дополнительные надбавки и выплаты, регулируемые ведомственными актами. Значительный разрыв в уровне оплаты труда работников бюджетной сферы по сравнению с другими отдельными отраслями являлся реальной угрозой ослабления кадрового потенциала данной сферы. Недостаточное стимулирование по результатам работы стало одной из причин массового оттока квалифицированных работников из бюджетных организаций.</w:t>
      </w:r>
    </w:p>
    <w:p>
      <w:pPr>
        <w:spacing w:after="200" w:before="200"/>
        <w:jc w:val="center"/>
      </w:pPr>
      <w:r>
        <w:rPr>
          <w:rFonts w:ascii="Arial" w:cs="Arial" w:eastAsia="Arial" w:hAnsi="Arial"/>
          <w:b/>
          <w:bCs/>
          <w:sz w:val="24"/>
          <w:szCs w:val="24"/>
        </w:rPr>
        <w:t xml:space="preserve">Глава 2. Достижения и проблемы</w:t>
      </w:r>
    </w:p>
    <w:p>
      <w:pPr>
        <w:spacing w:after="60" w:before="200"/>
        <w:ind w:firstLine="567"/>
        <w:jc w:val="both"/>
      </w:pPr>
      <w:r>
        <w:rPr>
          <w:rFonts w:ascii="Arial" w:cs="Arial" w:eastAsia="Arial" w:hAnsi="Arial"/>
          <w:b/>
          <w:bCs/>
          <w:sz w:val="24"/>
          <w:szCs w:val="24"/>
        </w:rPr>
        <w:t xml:space="preserve">2.1. Особенности условий оплаты труда государственных гражданских служащих и муниципальных служащих</w:t>
      </w:r>
    </w:p>
    <w:p>
      <w:pPr>
        <w:spacing w:after="60"/>
        <w:ind w:firstLine="567"/>
        <w:jc w:val="both"/>
      </w:pPr>
      <w:r>
        <w:rPr>
          <w:rFonts w:ascii="Arial" w:cs="Arial" w:eastAsia="Arial" w:hAnsi="Arial"/>
          <w:sz w:val="24"/>
          <w:szCs w:val="24"/>
        </w:rPr>
        <w:t xml:space="preserve">В 2013 году в целях создания эффективной системы оплаты труда служащих, основанной на взаимосвязи системы оплаты труда с результатами деятельности служащих, иерархией должностей, определения реальных критериев стимулирования и продвижения по службе принята Программа совершенствования системы оплаты труда государственных и муниципальных служащих Кыргызской Республики на 2013-2020 годы (далее - Программа). Программой внедрена унифицированная модель системы оплаты труда, основанная на градации государственных и муниципальных должностей и результатах деятельности служащих. Установлена единая минимальная базовая ставка для всех уровней государственного управления, размер которой не может быть ниже прожиточного минимума.</w:t>
      </w:r>
    </w:p>
    <w:p>
      <w:pPr>
        <w:spacing w:after="60"/>
        <w:ind w:firstLine="567"/>
        <w:jc w:val="both"/>
      </w:pPr>
      <w:r>
        <w:rPr>
          <w:rFonts w:ascii="Arial" w:cs="Arial" w:eastAsia="Arial" w:hAnsi="Arial"/>
          <w:sz w:val="24"/>
          <w:szCs w:val="24"/>
        </w:rPr>
        <w:t xml:space="preserve">При этом, реализация вышеуказанной Программы предусматривала 2 этапа реформирования:</w:t>
      </w:r>
    </w:p>
    <w:p>
      <w:pPr>
        <w:spacing w:after="60"/>
        <w:ind w:firstLine="567"/>
        <w:jc w:val="both"/>
      </w:pPr>
      <w:r>
        <w:rPr>
          <w:rFonts w:ascii="Arial" w:cs="Arial" w:eastAsia="Arial" w:hAnsi="Arial"/>
          <w:sz w:val="24"/>
          <w:szCs w:val="24"/>
        </w:rPr>
        <w:t xml:space="preserve">I этап - на 2013-2016 годы;</w:t>
      </w:r>
    </w:p>
    <w:p>
      <w:pPr>
        <w:spacing w:after="60"/>
        <w:ind w:firstLine="567"/>
        <w:jc w:val="both"/>
      </w:pPr>
      <w:r>
        <w:rPr>
          <w:rFonts w:ascii="Arial" w:cs="Arial" w:eastAsia="Arial" w:hAnsi="Arial"/>
          <w:sz w:val="24"/>
          <w:szCs w:val="24"/>
        </w:rPr>
        <w:t xml:space="preserve">II этап - на 2017-2020 годы.</w:t>
      </w:r>
    </w:p>
    <w:p>
      <w:pPr>
        <w:spacing w:after="60"/>
        <w:ind w:firstLine="567"/>
        <w:jc w:val="both"/>
      </w:pPr>
      <w:r>
        <w:rPr>
          <w:rFonts w:ascii="Arial" w:cs="Arial" w:eastAsia="Arial" w:hAnsi="Arial"/>
          <w:sz w:val="24"/>
          <w:szCs w:val="24"/>
        </w:rPr>
        <w:t xml:space="preserve">Предварительный анализ вышеуказанной Программы показал, что основные меры, предусмотренные на первом этапе реформы реализованы.</w:t>
      </w:r>
    </w:p>
    <w:p>
      <w:pPr>
        <w:spacing w:after="60"/>
        <w:ind w:firstLine="567"/>
        <w:jc w:val="both"/>
      </w:pPr>
      <w:r>
        <w:rPr>
          <w:rFonts w:ascii="Arial" w:cs="Arial" w:eastAsia="Arial" w:hAnsi="Arial"/>
          <w:sz w:val="24"/>
          <w:szCs w:val="24"/>
        </w:rPr>
        <w:t xml:space="preserve">Вместе с тем, перевод на новые условия оплаты труда был осуществлен не во всех государственных органах, чьи работники являются государственными служащими, поскольку на момент перехода к новым условиям размеры заработной платы их работников превышали размеры заработной платы государственных служащих.</w:t>
      </w:r>
    </w:p>
    <w:p>
      <w:pPr>
        <w:spacing w:after="60"/>
        <w:ind w:firstLine="567"/>
        <w:jc w:val="both"/>
      </w:pPr>
      <w:r>
        <w:rPr>
          <w:rFonts w:ascii="Arial" w:cs="Arial" w:eastAsia="Arial" w:hAnsi="Arial"/>
          <w:sz w:val="24"/>
          <w:szCs w:val="24"/>
        </w:rPr>
        <w:t xml:space="preserve">В свете принятых новых нормативных актов для работников государственной и муниципальной служб внедрена новая система оплаты труда и социальных гарантий.</w:t>
      </w:r>
    </w:p>
    <w:p>
      <w:pPr>
        <w:spacing w:after="60"/>
        <w:ind w:firstLine="567"/>
        <w:jc w:val="both"/>
      </w:pPr>
      <w:r>
        <w:rPr>
          <w:rFonts w:ascii="Arial" w:cs="Arial" w:eastAsia="Arial" w:hAnsi="Arial"/>
          <w:sz w:val="24"/>
          <w:szCs w:val="24"/>
        </w:rPr>
        <w:t xml:space="preserve">Так, в целях материального стимулирования и создания условий для повышения результативности, качества работы, а также привлечения высококвалифицированных кадров и снижения рисков проявления коррупции в секторе государственного управления, с 1 августа 2022 года повышена заработная плата государственных гражданских служащих и муниципальных служащих страны.</w:t>
      </w:r>
    </w:p>
    <w:p>
      <w:pPr>
        <w:spacing w:after="60"/>
        <w:ind w:firstLine="567"/>
        <w:jc w:val="both"/>
      </w:pPr>
      <w:r>
        <w:rPr>
          <w:rFonts w:ascii="Arial" w:cs="Arial" w:eastAsia="Arial" w:hAnsi="Arial"/>
          <w:sz w:val="24"/>
          <w:szCs w:val="24"/>
        </w:rPr>
        <w:t xml:space="preserve">Должностной оклад работников государственной и муниципальной служб рассчитывается путем умножения размера минимальной базовой ставки на коэффициент кратности к должностным окладам.</w:t>
      </w:r>
    </w:p>
    <w:p>
      <w:pPr>
        <w:spacing w:after="60" w:before="200"/>
        <w:ind w:firstLine="567"/>
        <w:jc w:val="both"/>
      </w:pPr>
      <w:r>
        <w:rPr>
          <w:rFonts w:ascii="Arial" w:cs="Arial" w:eastAsia="Arial" w:hAnsi="Arial"/>
          <w:b/>
          <w:bCs/>
          <w:sz w:val="24"/>
          <w:szCs w:val="24"/>
        </w:rPr>
        <w:t xml:space="preserve">2.2. Особенности условий оплаты труда военнослужащих и сотрудников правоохранительных органов</w:t>
      </w:r>
    </w:p>
    <w:p>
      <w:pPr>
        <w:spacing w:after="60"/>
        <w:ind w:firstLine="567"/>
        <w:jc w:val="both"/>
      </w:pPr>
      <w:r>
        <w:rPr>
          <w:rFonts w:ascii="Arial" w:cs="Arial" w:eastAsia="Arial" w:hAnsi="Arial"/>
          <w:sz w:val="24"/>
          <w:szCs w:val="24"/>
        </w:rPr>
        <w:t xml:space="preserve">В 2014 году произведены унификация денежного довольствия и повышение размеров пенсий военнослужащих и сотрудников правоохранительных органов в среднем на 37%. Дальнейшая политика по оплате денежного довольствия военнослужащих и сотрудников правоохранительных органов была направлена на пересмотр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Анализ состояния правотворческой и правоприменительной практики по вопросам денежного довольствия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(силовые структуры), свидетельствует о наличии следующих проблем:</w:t>
      </w:r>
    </w:p>
    <w:p>
      <w:pPr>
        <w:spacing w:after="60"/>
        <w:ind w:firstLine="567"/>
        <w:jc w:val="both"/>
      </w:pPr>
      <w:r>
        <w:rPr>
          <w:rFonts w:ascii="Arial" w:cs="Arial" w:eastAsia="Arial" w:hAnsi="Arial"/>
          <w:sz w:val="24"/>
          <w:szCs w:val="24"/>
        </w:rPr>
        <w:t xml:space="preserve">1) в Генеральной прокуратуре Кыргызской Республики и Государственной таможенной службе при Министерстве финансов Кыргызской Республики установлены смешанные условия оплаты труда (механизмы начисления денежного довольствия включают пенсионное обеспечение военнослужащих и оплату труда государственных гражданских служащих);</w:t>
      </w:r>
    </w:p>
    <w:p>
      <w:pPr>
        <w:spacing w:after="60"/>
        <w:ind w:firstLine="567"/>
        <w:jc w:val="both"/>
      </w:pPr>
      <w:r>
        <w:rPr>
          <w:rFonts w:ascii="Arial" w:cs="Arial" w:eastAsia="Arial" w:hAnsi="Arial"/>
          <w:sz w:val="24"/>
          <w:szCs w:val="24"/>
        </w:rPr>
        <w:t xml:space="preserve">2) сотрудники Генеральной прокуратуры Кыргызской Республики оплачивают подоходный налог;</w:t>
      </w:r>
    </w:p>
    <w:p>
      <w:pPr>
        <w:spacing w:after="60"/>
        <w:ind w:firstLine="567"/>
        <w:jc w:val="both"/>
      </w:pPr>
      <w:r>
        <w:rPr>
          <w:rFonts w:ascii="Arial" w:cs="Arial" w:eastAsia="Arial" w:hAnsi="Arial"/>
          <w:sz w:val="24"/>
          <w:szCs w:val="24"/>
        </w:rPr>
        <w:t xml:space="preserve">3) значительная диспропорция в окладах военнослужащих и сотрудников правоохранительных органов, размерах пенсии военных и пенсионеров силовых структур.</w:t>
      </w:r>
    </w:p>
    <w:p>
      <w:pPr>
        <w:spacing w:after="60"/>
        <w:ind w:firstLine="567"/>
        <w:jc w:val="both"/>
      </w:pPr>
      <w:r>
        <w:rPr>
          <w:rFonts w:ascii="Arial" w:cs="Arial" w:eastAsia="Arial" w:hAnsi="Arial"/>
          <w:sz w:val="24"/>
          <w:szCs w:val="24"/>
        </w:rPr>
        <w:t xml:space="preserve">Денежное довольствие сотрудников правоохранительных органов состоит из оклада по должности (более 46,6% от общего фонда оплаты денежного довольствия) и ряда надбавок и доплат (около 53,4% от общего фонда оплаты труда), а денежное довольствие военнослужащих состоит из оклада по воинской должности (более 37,5% от общего фонда оплаты денежного довольствия) и ряда надбавок и доплат (около 62,5% от общего фонда оплаты труда).</w:t>
      </w:r>
    </w:p>
    <w:p>
      <w:pPr>
        <w:spacing w:after="60"/>
        <w:ind w:firstLine="567"/>
        <w:jc w:val="both"/>
      </w:pPr>
      <w:r>
        <w:rPr>
          <w:rFonts w:ascii="Arial" w:cs="Arial" w:eastAsia="Arial" w:hAnsi="Arial"/>
          <w:sz w:val="24"/>
          <w:szCs w:val="24"/>
        </w:rPr>
        <w:t xml:space="preserve">Следовательно, повышение денежного довольствия военнослужащих и сотрудников правоохранительных органов повлечет увеличение размеров их пенсий:</w:t>
      </w:r>
    </w:p>
    <w:p>
      <w:pPr>
        <w:spacing w:after="60"/>
        <w:ind w:firstLine="567"/>
        <w:jc w:val="both"/>
      </w:pPr>
      <w:r>
        <w:rPr>
          <w:rFonts w:ascii="Arial" w:cs="Arial" w:eastAsia="Arial" w:hAnsi="Arial"/>
          <w:sz w:val="24"/>
          <w:szCs w:val="24"/>
        </w:rPr>
        <w:t xml:space="preserve">1) военнослужащие имеют специальные преференции по отчислениям страховых взносов в Социальный фонд Кыргызской Республики при Кабинете Министров Кыргызской Республики, а также по оплате подоходного налога;</w:t>
      </w:r>
    </w:p>
    <w:p>
      <w:pPr>
        <w:spacing w:after="60"/>
        <w:ind w:firstLine="567"/>
        <w:jc w:val="both"/>
      </w:pPr>
      <w:r>
        <w:rPr>
          <w:rFonts w:ascii="Arial" w:cs="Arial" w:eastAsia="Arial" w:hAnsi="Arial"/>
          <w:sz w:val="24"/>
          <w:szCs w:val="24"/>
        </w:rPr>
        <w:t xml:space="preserve">2) свыше 20 различных видов надбавок и доплат к должностному окладу, не включая вещевое и продуктовое довольствие, существенно сузили базовую часть заработной платы и сделали ее непривлекательной.</w:t>
      </w:r>
    </w:p>
    <w:p>
      <w:pPr>
        <w:spacing w:after="60"/>
        <w:ind w:firstLine="567"/>
        <w:jc w:val="both"/>
      </w:pPr>
      <w:r>
        <w:rPr>
          <w:rFonts w:ascii="Arial" w:cs="Arial" w:eastAsia="Arial" w:hAnsi="Arial"/>
          <w:sz w:val="24"/>
          <w:szCs w:val="24"/>
        </w:rPr>
        <w:t xml:space="preserve">В целях повышения уровня социального обеспечения военнослужащих Вооруженных Сил, других воинских формирований и лиц, уволенных с военной службы, необходимо унифицировать денежное довольствие путем увеличения окладов по воинской должности за счет пересмотра ряда надбавок, доплат и единовременных выплат.</w:t>
      </w:r>
    </w:p>
    <w:p>
      <w:pPr>
        <w:spacing w:after="60"/>
        <w:ind w:firstLine="567"/>
        <w:jc w:val="both"/>
      </w:pPr>
      <w:r>
        <w:rPr>
          <w:rFonts w:ascii="Arial" w:cs="Arial" w:eastAsia="Arial" w:hAnsi="Arial"/>
          <w:sz w:val="24"/>
          <w:szCs w:val="24"/>
        </w:rPr>
        <w:t xml:space="preserve">Пересмотрены условия оплаты труда вольнонаемного и гражданского персонала правоохранительных органов, Вооруженных Сил и других воинских формирований Кыргызской Республики в сторону повышения заработной платы. Некоторые надбавки интегрированы в должностные оклады.</w:t>
      </w:r>
    </w:p>
    <w:p>
      <w:pPr>
        <w:spacing w:after="60" w:before="200"/>
        <w:ind w:firstLine="567"/>
        <w:jc w:val="both"/>
      </w:pPr>
      <w:r>
        <w:rPr>
          <w:rFonts w:ascii="Arial" w:cs="Arial" w:eastAsia="Arial" w:hAnsi="Arial"/>
          <w:b/>
          <w:bCs/>
          <w:sz w:val="24"/>
          <w:szCs w:val="24"/>
        </w:rPr>
        <w:t xml:space="preserve">2.3. Система оплаты труда работников социальной сферы (образование, наука, здравоохранение, социальная защита, культура и другие социальные секторы)</w:t>
      </w:r>
    </w:p>
    <w:p>
      <w:pPr>
        <w:spacing w:after="60"/>
        <w:ind w:firstLine="567"/>
        <w:jc w:val="both"/>
      </w:pPr>
      <w:r>
        <w:rPr>
          <w:rFonts w:ascii="Arial" w:cs="Arial" w:eastAsia="Arial" w:hAnsi="Arial"/>
          <w:sz w:val="24"/>
          <w:szCs w:val="24"/>
        </w:rPr>
        <w:t xml:space="preserve">С 1 апреля 2022 года повышена заработная плата работников социальной сферы.</w:t>
      </w:r>
    </w:p>
    <w:p>
      <w:pPr>
        <w:spacing w:after="60"/>
        <w:ind w:firstLine="567"/>
        <w:jc w:val="both"/>
      </w:pPr>
      <w:r>
        <w:rPr>
          <w:rFonts w:ascii="Arial" w:cs="Arial" w:eastAsia="Arial" w:hAnsi="Arial"/>
          <w:sz w:val="24"/>
          <w:szCs w:val="24"/>
        </w:rPr>
        <w:t xml:space="preserve">Заработная плата работников социальной сферы состоит из гарантированной части, доплат и надбавок стимулирующего и компенсационного характера. Должностной оклад работников рассчитывается путем умножения размера минимальной базовой ставки на коэффициент кратности к должностным окладам. Заработная плата работников состоит из гарантированной части, компенсационных и стимулирующих выплат.</w:t>
      </w:r>
    </w:p>
    <w:p>
      <w:pPr>
        <w:spacing w:after="60"/>
        <w:ind w:firstLine="567"/>
        <w:jc w:val="both"/>
      </w:pPr>
      <w:r>
        <w:rPr>
          <w:rFonts w:ascii="Arial" w:cs="Arial" w:eastAsia="Arial" w:hAnsi="Arial"/>
          <w:sz w:val="24"/>
          <w:szCs w:val="24"/>
        </w:rPr>
        <w:t xml:space="preserve">Работникам общеобразовательных организаций, подготовившим победителей и призеров, за победу на олимпиадах районного, областного, международного уровней устанавливаются стимулирующие выплаты.</w:t>
      </w:r>
    </w:p>
    <w:p>
      <w:pPr>
        <w:spacing w:after="60" w:before="200"/>
        <w:ind w:firstLine="567"/>
        <w:jc w:val="both"/>
      </w:pPr>
      <w:r>
        <w:rPr>
          <w:rFonts w:ascii="Arial" w:cs="Arial" w:eastAsia="Arial" w:hAnsi="Arial"/>
          <w:b/>
          <w:bCs/>
          <w:sz w:val="24"/>
          <w:szCs w:val="24"/>
        </w:rPr>
        <w:t xml:space="preserve">2.4. Система оплаты труда работников других отраслей бюджетной сферы</w:t>
      </w:r>
    </w:p>
    <w:p>
      <w:pPr>
        <w:spacing w:after="60"/>
        <w:ind w:firstLine="567"/>
        <w:jc w:val="both"/>
      </w:pPr>
      <w:r>
        <w:rPr>
          <w:rFonts w:ascii="Arial" w:cs="Arial" w:eastAsia="Arial" w:hAnsi="Arial"/>
          <w:sz w:val="24"/>
          <w:szCs w:val="24"/>
        </w:rPr>
        <w:t xml:space="preserve">Внедрены новые условия оплаты труда для работников других отраслей бюджетной сферы.</w:t>
      </w:r>
    </w:p>
    <w:p>
      <w:pPr>
        <w:spacing w:after="60"/>
        <w:ind w:firstLine="567"/>
        <w:jc w:val="both"/>
      </w:pPr>
      <w:r>
        <w:rPr>
          <w:rFonts w:ascii="Arial" w:cs="Arial" w:eastAsia="Arial" w:hAnsi="Arial"/>
          <w:sz w:val="24"/>
          <w:szCs w:val="24"/>
        </w:rPr>
        <w:t xml:space="preserve">Оплата труда работников, не относящихся к государственным служащим, состоит из гарантированной части, доплат и надбавок стимулирующего и компенсационного характера. Должностной оклад работников рассчитывается путем умножения размера минимальной базовой ставки на коэффициент кратности к должностным окладам.</w:t>
      </w:r>
    </w:p>
    <w:p>
      <w:pPr>
        <w:spacing w:after="60"/>
        <w:ind w:firstLine="567"/>
        <w:jc w:val="both"/>
      </w:pPr>
      <w:r>
        <w:rPr>
          <w:rFonts w:ascii="Arial" w:cs="Arial" w:eastAsia="Arial" w:hAnsi="Arial"/>
          <w:sz w:val="24"/>
          <w:szCs w:val="24"/>
        </w:rPr>
        <w:t xml:space="preserve">При выходе в отпуск выплачивается пособие на оздоровление. В конце календарного года выплачивается тринадцатая заработная плата.</w:t>
      </w:r>
    </w:p>
    <w:p>
      <w:pPr>
        <w:spacing w:after="200" w:before="200"/>
        <w:jc w:val="center"/>
      </w:pPr>
      <w:r>
        <w:rPr>
          <w:rFonts w:ascii="Arial" w:cs="Arial" w:eastAsia="Arial" w:hAnsi="Arial"/>
          <w:b/>
          <w:bCs/>
          <w:sz w:val="24"/>
          <w:szCs w:val="24"/>
        </w:rPr>
        <w:t xml:space="preserve">Глава 3. Цель</w:t>
      </w:r>
    </w:p>
    <w:p>
      <w:pPr>
        <w:spacing w:after="60"/>
        <w:ind w:firstLine="567"/>
        <w:jc w:val="both"/>
      </w:pPr>
      <w:r>
        <w:rPr>
          <w:rFonts w:ascii="Arial" w:cs="Arial" w:eastAsia="Arial" w:hAnsi="Arial"/>
          <w:sz w:val="24"/>
          <w:szCs w:val="24"/>
        </w:rPr>
        <w:t xml:space="preserve">Концепция направлена на сохранение кадрового потенциала, повышение престижности и привлекательности работы в государственных органах, обеспечение соответствия оплаты труда работников качеству оказания ими государственных (муниципальных) услуг.</w:t>
      </w:r>
    </w:p>
    <w:p>
      <w:pPr>
        <w:spacing w:after="200" w:before="200"/>
        <w:jc w:val="center"/>
      </w:pPr>
      <w:r>
        <w:rPr>
          <w:rFonts w:ascii="Arial" w:cs="Arial" w:eastAsia="Arial" w:hAnsi="Arial"/>
          <w:b/>
          <w:bCs/>
          <w:sz w:val="24"/>
          <w:szCs w:val="24"/>
        </w:rPr>
        <w:t xml:space="preserve">Глава 4. Приоритеты</w:t>
      </w:r>
    </w:p>
    <w:p>
      <w:pPr>
        <w:spacing w:after="60"/>
        <w:ind w:firstLine="567"/>
        <w:jc w:val="both"/>
      </w:pPr>
      <w:r>
        <w:rPr>
          <w:rFonts w:ascii="Arial" w:cs="Arial" w:eastAsia="Arial" w:hAnsi="Arial"/>
          <w:sz w:val="24"/>
          <w:szCs w:val="24"/>
        </w:rPr>
        <w:t xml:space="preserve">Предлагаемая новая система оплаты труда работников должна быть направлена на:</w:t>
      </w:r>
    </w:p>
    <w:p>
      <w:pPr>
        <w:spacing w:after="60"/>
        <w:ind w:firstLine="567"/>
        <w:jc w:val="both"/>
      </w:pPr>
      <w:r>
        <w:rPr>
          <w:rFonts w:ascii="Arial" w:cs="Arial" w:eastAsia="Arial" w:hAnsi="Arial"/>
          <w:sz w:val="24"/>
          <w:szCs w:val="24"/>
        </w:rPr>
        <w:t xml:space="preserve">1) единообразие (внедрение новой унифицированной модели системы оплаты труда обеспечит единообразие в вопросах оплаты труда);</w:t>
      </w:r>
    </w:p>
    <w:p>
      <w:pPr>
        <w:spacing w:after="60"/>
        <w:ind w:firstLine="567"/>
        <w:jc w:val="both"/>
      </w:pPr>
      <w:r>
        <w:rPr>
          <w:rFonts w:ascii="Arial" w:cs="Arial" w:eastAsia="Arial" w:hAnsi="Arial"/>
          <w:sz w:val="24"/>
          <w:szCs w:val="24"/>
        </w:rPr>
        <w:t xml:space="preserve">2) прозрачность (система оплаты труда работников должна быть прозрачной и понятной);</w:t>
      </w:r>
    </w:p>
    <w:p>
      <w:pPr>
        <w:spacing w:after="60"/>
        <w:ind w:firstLine="567"/>
        <w:jc w:val="both"/>
      </w:pPr>
      <w:r>
        <w:rPr>
          <w:rFonts w:ascii="Arial" w:cs="Arial" w:eastAsia="Arial" w:hAnsi="Arial"/>
          <w:sz w:val="24"/>
          <w:szCs w:val="24"/>
        </w:rPr>
        <w:t xml:space="preserve">3) стимулирование развития кадрового потенциала (размер оплаты труда работников должен быть достойным и стимулировать их к карьерному росту);</w:t>
      </w:r>
    </w:p>
    <w:p>
      <w:pPr>
        <w:spacing w:after="60"/>
        <w:ind w:firstLine="567"/>
        <w:jc w:val="both"/>
      </w:pPr>
      <w:r>
        <w:rPr>
          <w:rFonts w:ascii="Arial" w:cs="Arial" w:eastAsia="Arial" w:hAnsi="Arial"/>
          <w:sz w:val="24"/>
          <w:szCs w:val="24"/>
        </w:rPr>
        <w:t xml:space="preserve">4) обеспечение социальной защищенности (право на вознаграждение за труд не ниже установленного законом прожиточного минимума);</w:t>
      </w:r>
    </w:p>
    <w:p>
      <w:pPr>
        <w:spacing w:after="60"/>
        <w:ind w:firstLine="567"/>
        <w:jc w:val="both"/>
      </w:pPr>
      <w:r>
        <w:rPr>
          <w:rFonts w:ascii="Arial" w:cs="Arial" w:eastAsia="Arial" w:hAnsi="Arial"/>
          <w:sz w:val="24"/>
          <w:szCs w:val="24"/>
        </w:rPr>
        <w:t xml:space="preserve">5) справедливость (обеспечение оплаты труда работников максимально приблизить к действию принципа "Равная оплата за равную работу").</w:t>
      </w:r>
    </w:p>
    <w:p>
      <w:pPr>
        <w:spacing w:after="200" w:before="200"/>
        <w:jc w:val="center"/>
      </w:pPr>
      <w:r>
        <w:rPr>
          <w:rFonts w:ascii="Arial" w:cs="Arial" w:eastAsia="Arial" w:hAnsi="Arial"/>
          <w:b/>
          <w:bCs/>
          <w:sz w:val="24"/>
          <w:szCs w:val="24"/>
        </w:rPr>
        <w:t xml:space="preserve">Глава 5. Задачи и направления</w:t>
      </w:r>
    </w:p>
    <w:p>
      <w:pPr>
        <w:spacing w:after="60"/>
        <w:ind w:firstLine="567"/>
        <w:jc w:val="both"/>
      </w:pPr>
      <w:r>
        <w:rPr>
          <w:rFonts w:ascii="Arial" w:cs="Arial" w:eastAsia="Arial" w:hAnsi="Arial"/>
          <w:sz w:val="24"/>
          <w:szCs w:val="24"/>
        </w:rPr>
        <w:t xml:space="preserve">Достижение целей Концепции требует решения следующих основных задач:</w:t>
      </w:r>
    </w:p>
    <w:p>
      <w:pPr>
        <w:spacing w:after="60" w:before="200"/>
        <w:ind w:firstLine="567"/>
        <w:jc w:val="both"/>
      </w:pPr>
      <w:r>
        <w:rPr>
          <w:rFonts w:ascii="Arial" w:cs="Arial" w:eastAsia="Arial" w:hAnsi="Arial"/>
          <w:b/>
          <w:bCs/>
          <w:sz w:val="24"/>
          <w:szCs w:val="24"/>
        </w:rPr>
        <w:t xml:space="preserve">Задача 1. Совершенствование системы оплаты труда работников бюджетной сферы, ориентированной на достижение конкретных показателей качества и количества оказываемых государственных (муниципальных) услуг</w:t>
      </w:r>
    </w:p>
    <w:p>
      <w:pPr>
        <w:spacing w:after="60"/>
        <w:ind w:firstLine="567"/>
        <w:jc w:val="both"/>
      </w:pPr>
      <w:r>
        <w:rPr>
          <w:rFonts w:ascii="Arial" w:cs="Arial" w:eastAsia="Arial" w:hAnsi="Arial"/>
          <w:sz w:val="24"/>
          <w:szCs w:val="24"/>
        </w:rPr>
        <w:t xml:space="preserve">Система оплаты труда работников бюджетной сферы должна обеспечивать:</w:t>
      </w:r>
    </w:p>
    <w:p>
      <w:pPr>
        <w:spacing w:after="60"/>
        <w:ind w:firstLine="567"/>
        <w:jc w:val="both"/>
      </w:pPr>
      <w:r>
        <w:rPr>
          <w:rFonts w:ascii="Arial" w:cs="Arial" w:eastAsia="Arial" w:hAnsi="Arial"/>
          <w:sz w:val="24"/>
          <w:szCs w:val="24"/>
        </w:rPr>
        <w:t xml:space="preserve">1) дифференциацию оплаты труда работников, выполняющих работу различной сложности;</w:t>
      </w:r>
    </w:p>
    <w:p>
      <w:pPr>
        <w:spacing w:after="60"/>
        <w:ind w:firstLine="567"/>
        <w:jc w:val="both"/>
      </w:pPr>
      <w:r>
        <w:rPr>
          <w:rFonts w:ascii="Arial" w:cs="Arial" w:eastAsia="Arial" w:hAnsi="Arial"/>
          <w:sz w:val="24"/>
          <w:szCs w:val="24"/>
        </w:rPr>
        <w:t xml:space="preserve">2) установление оплаты труда в зависимости от качества, количества и сложности оказываемых государственных (муниципальных) услуг.</w:t>
      </w:r>
    </w:p>
    <w:p>
      <w:pPr>
        <w:spacing w:after="60"/>
        <w:ind w:firstLine="567"/>
        <w:jc w:val="both"/>
      </w:pPr>
      <w:r>
        <w:rPr>
          <w:rFonts w:ascii="Arial" w:cs="Arial" w:eastAsia="Arial" w:hAnsi="Arial"/>
          <w:sz w:val="24"/>
          <w:szCs w:val="24"/>
        </w:rPr>
        <w:t xml:space="preserve">Совершенствование системы оплаты труда предусматривается путем реализации ряда мероприятий.</w:t>
      </w:r>
    </w:p>
    <w:p>
      <w:pPr>
        <w:spacing w:after="60"/>
        <w:ind w:firstLine="567"/>
        <w:jc w:val="both"/>
      </w:pPr>
      <w:r>
        <w:rPr>
          <w:rFonts w:ascii="Arial" w:cs="Arial" w:eastAsia="Arial" w:hAnsi="Arial"/>
          <w:sz w:val="24"/>
          <w:szCs w:val="24"/>
        </w:rPr>
        <w:t xml:space="preserve">Совершенствование установления должностных окладов будет осуществляться исходя из сложности труда работников на основе актуализации:</w:t>
      </w:r>
    </w:p>
    <w:p>
      <w:pPr>
        <w:spacing w:after="60"/>
        <w:ind w:firstLine="567"/>
        <w:jc w:val="both"/>
      </w:pPr>
      <w:r>
        <w:rPr>
          <w:rFonts w:ascii="Arial" w:cs="Arial" w:eastAsia="Arial" w:hAnsi="Arial"/>
          <w:sz w:val="24"/>
          <w:szCs w:val="24"/>
        </w:rPr>
        <w:t xml:space="preserve">1) профессиональных стандартов и квалификационных требований к работникам;</w:t>
      </w:r>
    </w:p>
    <w:p>
      <w:pPr>
        <w:spacing w:after="60"/>
        <w:ind w:firstLine="567"/>
        <w:jc w:val="both"/>
      </w:pPr>
      <w:r>
        <w:rPr>
          <w:rFonts w:ascii="Arial" w:cs="Arial" w:eastAsia="Arial" w:hAnsi="Arial"/>
          <w:sz w:val="24"/>
          <w:szCs w:val="24"/>
        </w:rPr>
        <w:t xml:space="preserve">2) типовых норм труда, устанавливаемых предприятиями и организациями в порядке, определенном </w:t>
      </w:r>
      <w:hyperlink w:history="1" r:id="rId4hdgieksaarrrm3pffmp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gkd8j-d82hkbutlz0zpaw">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разработки и утверждения типовых норм труда" от 10 июля 2012 года № 479;</w:t>
      </w:r>
    </w:p>
    <w:p>
      <w:pPr>
        <w:spacing w:after="60"/>
        <w:ind w:firstLine="567"/>
        <w:jc w:val="both"/>
      </w:pPr>
      <w:r>
        <w:rPr>
          <w:rFonts w:ascii="Arial" w:cs="Arial" w:eastAsia="Arial" w:hAnsi="Arial"/>
          <w:sz w:val="24"/>
          <w:szCs w:val="24"/>
        </w:rPr>
        <w:t xml:space="preserve">3) норм труда, устанавливаемых локальными нормативными актами;</w:t>
      </w:r>
    </w:p>
    <w:p>
      <w:pPr>
        <w:spacing w:after="60"/>
        <w:ind w:firstLine="567"/>
        <w:jc w:val="both"/>
      </w:pPr>
      <w:r>
        <w:rPr>
          <w:rFonts w:ascii="Arial" w:cs="Arial" w:eastAsia="Arial" w:hAnsi="Arial"/>
          <w:sz w:val="24"/>
          <w:szCs w:val="24"/>
        </w:rPr>
        <w:t xml:space="preserve">4) общереспубликанского классификатора профессий рабочих, должностей служащих и тарифных разрядов;</w:t>
      </w:r>
    </w:p>
    <w:p>
      <w:pPr>
        <w:spacing w:after="60"/>
        <w:ind w:firstLine="567"/>
        <w:jc w:val="both"/>
      </w:pPr>
      <w:r>
        <w:rPr>
          <w:rFonts w:ascii="Arial" w:cs="Arial" w:eastAsia="Arial" w:hAnsi="Arial"/>
          <w:sz w:val="24"/>
          <w:szCs w:val="24"/>
        </w:rPr>
        <w:t xml:space="preserve">5) формирования национальной квалификационной системы.</w:t>
      </w:r>
    </w:p>
    <w:p>
      <w:pPr>
        <w:spacing w:after="60" w:before="200"/>
        <w:ind w:firstLine="567"/>
        <w:jc w:val="both"/>
      </w:pPr>
      <w:r>
        <w:rPr>
          <w:rFonts w:ascii="Arial" w:cs="Arial" w:eastAsia="Arial" w:hAnsi="Arial"/>
          <w:b/>
          <w:bCs/>
          <w:sz w:val="24"/>
          <w:szCs w:val="24"/>
        </w:rPr>
        <w:t xml:space="preserve">Задача 2. Внедрение единой модели формирования системы оплаты труда</w:t>
      </w:r>
    </w:p>
    <w:p>
      <w:pPr>
        <w:spacing w:after="60"/>
        <w:ind w:firstLine="567"/>
        <w:jc w:val="both"/>
      </w:pPr>
      <w:r>
        <w:rPr>
          <w:rFonts w:ascii="Arial" w:cs="Arial" w:eastAsia="Arial" w:hAnsi="Arial"/>
          <w:sz w:val="24"/>
          <w:szCs w:val="24"/>
        </w:rPr>
        <w:t xml:space="preserve">Для расчета должностных окладов работников бюджетной сферы применяется единая минимальная базовая ставка, размер которой не может быть ниже прожиточного минимума.</w:t>
      </w:r>
    </w:p>
    <w:p>
      <w:pPr>
        <w:spacing w:after="60"/>
        <w:ind w:firstLine="567"/>
        <w:jc w:val="both"/>
      </w:pPr>
      <w:r>
        <w:rPr>
          <w:rFonts w:ascii="Arial" w:cs="Arial" w:eastAsia="Arial" w:hAnsi="Arial"/>
          <w:sz w:val="24"/>
          <w:szCs w:val="24"/>
        </w:rPr>
        <w:t xml:space="preserve">Заработная плата работников должна состоять из гарантированной части, компенсационных и стимулирующих выплат.</w:t>
      </w:r>
    </w:p>
    <w:p>
      <w:pPr>
        <w:spacing w:after="60"/>
        <w:ind w:firstLine="567"/>
        <w:jc w:val="both"/>
      </w:pPr>
      <w:r>
        <w:rPr>
          <w:rFonts w:ascii="Arial" w:cs="Arial" w:eastAsia="Arial" w:hAnsi="Arial"/>
          <w:sz w:val="24"/>
          <w:szCs w:val="24"/>
        </w:rPr>
        <w:t xml:space="preserve">При этом, гарантированная часть заработной платы работников бюджетной сферы должна составлять не менее 2/3 от общего размера заработной платы.</w:t>
      </w:r>
    </w:p>
    <w:p>
      <w:pPr>
        <w:spacing w:after="60"/>
        <w:ind w:firstLine="567"/>
        <w:jc w:val="both"/>
      </w:pPr>
      <w:r>
        <w:rPr>
          <w:rFonts w:ascii="Arial" w:cs="Arial" w:eastAsia="Arial" w:hAnsi="Arial"/>
          <w:sz w:val="24"/>
          <w:szCs w:val="24"/>
        </w:rPr>
        <w:t xml:space="preserve">В целях обеспечения защиты интересов работников должна проводиться индексация минимальной базовой ставки. Условием для проведения индексации минимальной базовой ставки является установление Национальным статистическим комитетом Кыргызской Республики величины прожиточного минимума для населения республики трудоспособного возраста за предыдущий календарный год, предшествующий индексации. Решение об индексации минимальной базовой ставки принимается высшим руководством страны в зависимости от финансовых возможностей государства.</w:t>
      </w:r>
    </w:p>
    <w:p>
      <w:pPr>
        <w:spacing w:after="60" w:before="200"/>
        <w:ind w:firstLine="567"/>
        <w:jc w:val="both"/>
      </w:pPr>
      <w:r>
        <w:rPr>
          <w:rFonts w:ascii="Arial" w:cs="Arial" w:eastAsia="Arial" w:hAnsi="Arial"/>
          <w:b/>
          <w:bCs/>
          <w:sz w:val="24"/>
          <w:szCs w:val="24"/>
        </w:rPr>
        <w:t xml:space="preserve">Задача 3. Совершенствование нормативной правовой базы в сфере оплаты труда</w:t>
      </w:r>
    </w:p>
    <w:p>
      <w:pPr>
        <w:spacing w:after="60"/>
        <w:ind w:firstLine="567"/>
        <w:jc w:val="both"/>
      </w:pPr>
      <w:r>
        <w:rPr>
          <w:rFonts w:ascii="Arial" w:cs="Arial" w:eastAsia="Arial" w:hAnsi="Arial"/>
          <w:sz w:val="24"/>
          <w:szCs w:val="24"/>
        </w:rPr>
        <w:t xml:space="preserve">Для продолжения работы по совершенствованию системы оплаты труда необходимо провести инвентаризацию нормативных правовых актов Кыргызской Республики в сфере оплаты труда. В рамках данной работы будут пересмотрены нормативные правовые акты Кыргызской Республики, регулирующие условия оплаты труда.</w:t>
      </w:r>
    </w:p>
    <w:p>
      <w:pPr>
        <w:spacing w:after="60"/>
        <w:ind w:firstLine="567"/>
        <w:jc w:val="both"/>
      </w:pPr>
      <w:r>
        <w:rPr>
          <w:rFonts w:ascii="Arial" w:cs="Arial" w:eastAsia="Arial" w:hAnsi="Arial"/>
          <w:sz w:val="24"/>
          <w:szCs w:val="24"/>
        </w:rPr>
        <w:t xml:space="preserve">Кроме того, в рамках реализации мер по совершенствованию системы оплаты труда необходимо внесение соответствующих изменений в Трудовой </w:t>
      </w:r>
      <w:hyperlink w:history="1" r:id="rIdgokpvs1vgqokeeuigk1v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w:t>
      </w:r>
    </w:p>
    <w:p>
      <w:pPr>
        <w:spacing w:after="60"/>
        <w:ind w:firstLine="567"/>
        <w:jc w:val="both"/>
      </w:pPr>
      <w:r>
        <w:rPr>
          <w:rFonts w:ascii="Arial" w:cs="Arial" w:eastAsia="Arial" w:hAnsi="Arial"/>
          <w:sz w:val="24"/>
          <w:szCs w:val="24"/>
        </w:rPr>
        <w:t xml:space="preserve">1) уточнения норм, регламентирующих вопросы оплаты труда на предприятиях и в организациях, финансируемых из бюджетов всех уровней;</w:t>
      </w:r>
    </w:p>
    <w:p>
      <w:pPr>
        <w:spacing w:after="60"/>
        <w:ind w:firstLine="567"/>
        <w:jc w:val="both"/>
      </w:pPr>
      <w:r>
        <w:rPr>
          <w:rFonts w:ascii="Arial" w:cs="Arial" w:eastAsia="Arial" w:hAnsi="Arial"/>
          <w:sz w:val="24"/>
          <w:szCs w:val="24"/>
        </w:rPr>
        <w:t xml:space="preserve">2) трудовых отношений, оплаты труда, регламентации минимальной заработной платы, социального партнерства, государственных гарантий и компенсаций для лиц, проживающих и работающих в условиях высокогорья и отдаленных труднодоступных зонах, индексации суммы возмещения вреда;</w:t>
      </w:r>
    </w:p>
    <w:p>
      <w:pPr>
        <w:spacing w:after="60"/>
        <w:ind w:firstLine="567"/>
        <w:jc w:val="both"/>
      </w:pPr>
      <w:r>
        <w:rPr>
          <w:rFonts w:ascii="Arial" w:cs="Arial" w:eastAsia="Arial" w:hAnsi="Arial"/>
          <w:sz w:val="24"/>
          <w:szCs w:val="24"/>
        </w:rPr>
        <w:t xml:space="preserve">3) введения понятий "Национальная система квалификаций", "Отраслевые/секторальные рамки квалификаций", "Профессиональный стандарт".</w:t>
      </w:r>
    </w:p>
    <w:p>
      <w:pPr>
        <w:spacing w:after="60"/>
        <w:ind w:firstLine="567"/>
        <w:jc w:val="both"/>
      </w:pPr>
      <w:r>
        <w:rPr>
          <w:rFonts w:ascii="Arial" w:cs="Arial" w:eastAsia="Arial" w:hAnsi="Arial"/>
          <w:sz w:val="24"/>
          <w:szCs w:val="24"/>
        </w:rPr>
        <w:t xml:space="preserve">Национальная система квалификаций - это инструмент согласования спроса со стороны рынка труда и предложения со стороны системы образования. Под ключевым понятием "квалификация" понимается готовность работника выполнять качественно работу в рамках своей трудовой деятельности, профессии.</w:t>
      </w:r>
    </w:p>
    <w:p>
      <w:pPr>
        <w:spacing w:after="60"/>
        <w:ind w:firstLine="567"/>
        <w:jc w:val="both"/>
      </w:pPr>
      <w:r>
        <w:rPr>
          <w:rFonts w:ascii="Arial" w:cs="Arial" w:eastAsia="Arial" w:hAnsi="Arial"/>
          <w:sz w:val="24"/>
          <w:szCs w:val="24"/>
        </w:rPr>
        <w:t xml:space="preserve">Национальная система квалификаций включает ряд инструментов и механизмов: квалификационные справочники, профессиональные и образовательные стандарты, позволяющие выявлять необходимые для рынка труда профессии и готовить кадры.</w:t>
      </w:r>
    </w:p>
    <w:p>
      <w:pPr>
        <w:spacing w:after="60"/>
        <w:ind w:firstLine="567"/>
        <w:jc w:val="both"/>
      </w:pPr>
      <w:r>
        <w:rPr>
          <w:rFonts w:ascii="Arial" w:cs="Arial" w:eastAsia="Arial" w:hAnsi="Arial"/>
          <w:sz w:val="24"/>
          <w:szCs w:val="24"/>
        </w:rPr>
        <w:t xml:space="preserve">Предусматривается разработка нового Общереспубликанского классификатора профессий рабочих, должностей служащих и тарифных разрядов, а также утверждение типовых норм труда (в случае их отсутствия), внесение изменений в типовые нормы труда.</w:t>
      </w:r>
    </w:p>
    <w:p>
      <w:pPr>
        <w:spacing w:after="200" w:before="200"/>
        <w:jc w:val="center"/>
      </w:pPr>
      <w:r>
        <w:rPr>
          <w:rFonts w:ascii="Arial" w:cs="Arial" w:eastAsia="Arial" w:hAnsi="Arial"/>
          <w:b/>
          <w:bCs/>
          <w:sz w:val="24"/>
          <w:szCs w:val="24"/>
        </w:rPr>
        <w:t xml:space="preserve">Глава 6. Ожидаемые результаты</w:t>
      </w:r>
    </w:p>
    <w:p>
      <w:pPr>
        <w:spacing w:after="60"/>
        <w:ind w:firstLine="567"/>
        <w:jc w:val="both"/>
      </w:pPr>
      <w:r>
        <w:rPr>
          <w:rFonts w:ascii="Arial" w:cs="Arial" w:eastAsia="Arial" w:hAnsi="Arial"/>
          <w:sz w:val="24"/>
          <w:szCs w:val="24"/>
        </w:rPr>
        <w:t xml:space="preserve">Результатом совершенствования системы оплаты труда работников бюджетной сферы станет:</w:t>
      </w:r>
    </w:p>
    <w:p>
      <w:pPr>
        <w:spacing w:after="60"/>
        <w:ind w:firstLine="567"/>
        <w:jc w:val="both"/>
      </w:pPr>
      <w:r>
        <w:rPr>
          <w:rFonts w:ascii="Arial" w:cs="Arial" w:eastAsia="Arial" w:hAnsi="Arial"/>
          <w:sz w:val="24"/>
          <w:szCs w:val="24"/>
        </w:rPr>
        <w:t xml:space="preserve">1) повышение престижности и привлекательности профессий работников, участвующих в оказании государственных (муниципальных) услуг;</w:t>
      </w:r>
    </w:p>
    <w:p>
      <w:pPr>
        <w:spacing w:after="60"/>
        <w:ind w:firstLine="567"/>
        <w:jc w:val="both"/>
      </w:pPr>
      <w:r>
        <w:rPr>
          <w:rFonts w:ascii="Arial" w:cs="Arial" w:eastAsia="Arial" w:hAnsi="Arial"/>
          <w:sz w:val="24"/>
          <w:szCs w:val="24"/>
        </w:rPr>
        <w:t xml:space="preserve">2) внедрение системы оплаты труда работников с учетом качества, количества и сложности оказываемых государственных (муниципальных) услуг;</w:t>
      </w:r>
    </w:p>
    <w:p>
      <w:pPr>
        <w:spacing w:after="60"/>
        <w:ind w:firstLine="567"/>
        <w:jc w:val="both"/>
      </w:pPr>
      <w:r>
        <w:rPr>
          <w:rFonts w:ascii="Arial" w:cs="Arial" w:eastAsia="Arial" w:hAnsi="Arial"/>
          <w:sz w:val="24"/>
          <w:szCs w:val="24"/>
        </w:rPr>
        <w:t xml:space="preserve">3) упрощенная структура заработной платы;</w:t>
      </w:r>
    </w:p>
    <w:p>
      <w:pPr>
        <w:spacing w:after="60"/>
        <w:ind w:firstLine="567"/>
        <w:jc w:val="both"/>
      </w:pPr>
      <w:r>
        <w:rPr>
          <w:rFonts w:ascii="Arial" w:cs="Arial" w:eastAsia="Arial" w:hAnsi="Arial"/>
          <w:sz w:val="24"/>
          <w:szCs w:val="24"/>
        </w:rPr>
        <w:t xml:space="preserve">4) унифицированность видов и размеров компенсационных и стимулирующих выплат с учетом отраслевых особенностей;</w:t>
      </w:r>
    </w:p>
    <w:p>
      <w:pPr>
        <w:spacing w:after="60"/>
        <w:ind w:firstLine="567"/>
        <w:jc w:val="both"/>
      </w:pPr>
      <w:r>
        <w:rPr>
          <w:rFonts w:ascii="Arial" w:cs="Arial" w:eastAsia="Arial" w:hAnsi="Arial"/>
          <w:sz w:val="24"/>
          <w:szCs w:val="24"/>
        </w:rPr>
        <w:t xml:space="preserve">5) усовершенствованная нормативная правовая база условий оплаты труда работников бюджетной сферы;</w:t>
      </w:r>
    </w:p>
    <w:p>
      <w:pPr>
        <w:spacing w:after="60"/>
        <w:ind w:firstLine="567"/>
        <w:jc w:val="both"/>
      </w:pPr>
      <w:r>
        <w:rPr>
          <w:rFonts w:ascii="Arial" w:cs="Arial" w:eastAsia="Arial" w:hAnsi="Arial"/>
          <w:sz w:val="24"/>
          <w:szCs w:val="24"/>
        </w:rPr>
        <w:t xml:space="preserve">6) справедливость в оплате труда, основанная на принципе "Равная оплата за равную работу";</w:t>
      </w:r>
    </w:p>
    <w:p>
      <w:pPr>
        <w:spacing w:after="60"/>
        <w:ind w:firstLine="567"/>
        <w:jc w:val="both"/>
      </w:pPr>
      <w:r>
        <w:rPr>
          <w:rFonts w:ascii="Arial" w:cs="Arial" w:eastAsia="Arial" w:hAnsi="Arial"/>
          <w:sz w:val="24"/>
          <w:szCs w:val="24"/>
        </w:rPr>
        <w:t xml:space="preserve">7) повышение уровня квалификации работников, участвующих в оказании государственных (муниципальных) услуг;</w:t>
      </w:r>
    </w:p>
    <w:p>
      <w:pPr>
        <w:spacing w:after="60"/>
        <w:ind w:firstLine="567"/>
        <w:jc w:val="both"/>
      </w:pPr>
      <w:r>
        <w:rPr>
          <w:rFonts w:ascii="Arial" w:cs="Arial" w:eastAsia="Arial" w:hAnsi="Arial"/>
          <w:sz w:val="24"/>
          <w:szCs w:val="24"/>
        </w:rPr>
        <w:t xml:space="preserve">8) повышение качества оказания государственных (муниципальных) услуг;</w:t>
      </w:r>
    </w:p>
    <w:p>
      <w:pPr>
        <w:spacing w:after="60"/>
        <w:ind w:firstLine="567"/>
        <w:jc w:val="both"/>
      </w:pPr>
      <w:r>
        <w:rPr>
          <w:rFonts w:ascii="Arial" w:cs="Arial" w:eastAsia="Arial" w:hAnsi="Arial"/>
          <w:sz w:val="24"/>
          <w:szCs w:val="24"/>
        </w:rPr>
        <w:t xml:space="preserve">9) создание прозрачного механизма оплаты труда;</w:t>
      </w:r>
    </w:p>
    <w:p>
      <w:pPr>
        <w:spacing w:after="60"/>
        <w:ind w:firstLine="567"/>
        <w:jc w:val="both"/>
      </w:pPr>
      <w:r>
        <w:rPr>
          <w:rFonts w:ascii="Arial" w:cs="Arial" w:eastAsia="Arial" w:hAnsi="Arial"/>
          <w:sz w:val="24"/>
          <w:szCs w:val="24"/>
        </w:rPr>
        <w:t xml:space="preserve">10) сокращение текучести кадров в бюджетной сфере;</w:t>
      </w:r>
    </w:p>
    <w:p>
      <w:pPr>
        <w:spacing w:after="60"/>
        <w:ind w:firstLine="567"/>
        <w:jc w:val="both"/>
      </w:pPr>
      <w:r>
        <w:rPr>
          <w:rFonts w:ascii="Arial" w:cs="Arial" w:eastAsia="Arial" w:hAnsi="Arial"/>
          <w:sz w:val="24"/>
          <w:szCs w:val="24"/>
        </w:rPr>
        <w:t xml:space="preserve">11) улучшение материального положения работников бюджетной сферы.</w:t>
      </w:r>
    </w:p>
    <w:p>
      <w:pPr>
        <w:spacing w:after="200" w:before="200"/>
        <w:jc w:val="center"/>
      </w:pPr>
      <w:r>
        <w:rPr>
          <w:rFonts w:ascii="Arial" w:cs="Arial" w:eastAsia="Arial" w:hAnsi="Arial"/>
          <w:b/>
          <w:bCs/>
          <w:sz w:val="24"/>
          <w:szCs w:val="24"/>
        </w:rPr>
        <w:t xml:space="preserve">Глава 7. Благоприятные предпосылки и риски</w:t>
      </w:r>
    </w:p>
    <w:p>
      <w:pPr>
        <w:spacing w:after="60" w:before="200"/>
        <w:ind w:firstLine="567"/>
        <w:jc w:val="both"/>
      </w:pPr>
      <w:r>
        <w:rPr>
          <w:rFonts w:ascii="Arial" w:cs="Arial" w:eastAsia="Arial" w:hAnsi="Arial"/>
          <w:b/>
          <w:bCs/>
          <w:sz w:val="24"/>
          <w:szCs w:val="24"/>
        </w:rPr>
        <w:t xml:space="preserve">7.1. Благоприятные предпосылки</w:t>
      </w:r>
    </w:p>
    <w:p>
      <w:pPr>
        <w:spacing w:after="60"/>
        <w:ind w:firstLine="567"/>
        <w:jc w:val="both"/>
      </w:pPr>
      <w:r>
        <w:rPr>
          <w:rFonts w:ascii="Arial" w:cs="Arial" w:eastAsia="Arial" w:hAnsi="Arial"/>
          <w:sz w:val="24"/>
          <w:szCs w:val="24"/>
        </w:rPr>
        <w:t xml:space="preserve">Благоприятными предпосылками для успешной реализации Концепции являются упрощение системы оплаты труда, развитие принципиально нового понимания оплаты труда, результативность деятельности работников на всех уровнях.</w:t>
      </w:r>
    </w:p>
    <w:p>
      <w:pPr>
        <w:spacing w:after="60" w:before="200"/>
        <w:ind w:firstLine="567"/>
        <w:jc w:val="both"/>
      </w:pPr>
      <w:r>
        <w:rPr>
          <w:rFonts w:ascii="Arial" w:cs="Arial" w:eastAsia="Arial" w:hAnsi="Arial"/>
          <w:b/>
          <w:bCs/>
          <w:sz w:val="24"/>
          <w:szCs w:val="24"/>
        </w:rPr>
        <w:t xml:space="preserve">7.2. Риски</w:t>
      </w:r>
    </w:p>
    <w:p>
      <w:pPr>
        <w:spacing w:after="60"/>
        <w:ind w:firstLine="567"/>
        <w:jc w:val="both"/>
      </w:pPr>
      <w:r>
        <w:rPr>
          <w:rFonts w:ascii="Arial" w:cs="Arial" w:eastAsia="Arial" w:hAnsi="Arial"/>
          <w:sz w:val="24"/>
          <w:szCs w:val="24"/>
        </w:rPr>
        <w:t xml:space="preserve">Возможными рисками и угрозами обеспечения успешной реализации Концепции являются:</w:t>
      </w:r>
    </w:p>
    <w:p>
      <w:pPr>
        <w:spacing w:after="60"/>
        <w:ind w:firstLine="567"/>
        <w:jc w:val="both"/>
      </w:pPr>
      <w:r>
        <w:rPr>
          <w:rFonts w:ascii="Arial" w:cs="Arial" w:eastAsia="Arial" w:hAnsi="Arial"/>
          <w:sz w:val="24"/>
          <w:szCs w:val="24"/>
        </w:rPr>
        <w:t xml:space="preserve">1) внешние факторы (повышение мировых цен на продовольствие, товары первой необходимости);</w:t>
      </w:r>
    </w:p>
    <w:p>
      <w:pPr>
        <w:spacing w:after="60"/>
        <w:ind w:firstLine="567"/>
        <w:jc w:val="both"/>
      </w:pPr>
      <w:r>
        <w:rPr>
          <w:rFonts w:ascii="Arial" w:cs="Arial" w:eastAsia="Arial" w:hAnsi="Arial"/>
          <w:sz w:val="24"/>
          <w:szCs w:val="24"/>
        </w:rPr>
        <w:t xml:space="preserve">2) дефицит бюджета;</w:t>
      </w:r>
    </w:p>
    <w:p>
      <w:pPr>
        <w:spacing w:after="60"/>
        <w:ind w:firstLine="567"/>
        <w:jc w:val="both"/>
      </w:pPr>
      <w:r>
        <w:rPr>
          <w:rFonts w:ascii="Arial" w:cs="Arial" w:eastAsia="Arial" w:hAnsi="Arial"/>
          <w:sz w:val="24"/>
          <w:szCs w:val="24"/>
        </w:rPr>
        <w:t xml:space="preserve">3) рост инфляции;</w:t>
      </w:r>
    </w:p>
    <w:p>
      <w:pPr>
        <w:spacing w:after="60"/>
        <w:ind w:firstLine="567"/>
        <w:jc w:val="both"/>
      </w:pPr>
      <w:r>
        <w:rPr>
          <w:rFonts w:ascii="Arial" w:cs="Arial" w:eastAsia="Arial" w:hAnsi="Arial"/>
          <w:sz w:val="24"/>
          <w:szCs w:val="24"/>
        </w:rPr>
        <w:t xml:space="preserve">4) законодательные риски;</w:t>
      </w:r>
    </w:p>
    <w:p>
      <w:pPr>
        <w:spacing w:after="60"/>
        <w:ind w:firstLine="567"/>
        <w:jc w:val="both"/>
      </w:pPr>
      <w:r>
        <w:rPr>
          <w:rFonts w:ascii="Arial" w:cs="Arial" w:eastAsia="Arial" w:hAnsi="Arial"/>
          <w:sz w:val="24"/>
          <w:szCs w:val="24"/>
        </w:rPr>
        <w:t xml:space="preserve">5) политическая нестабильность в стране;</w:t>
      </w:r>
    </w:p>
    <w:p>
      <w:pPr>
        <w:spacing w:after="60"/>
        <w:ind w:firstLine="567"/>
        <w:jc w:val="both"/>
      </w:pPr>
      <w:r>
        <w:rPr>
          <w:rFonts w:ascii="Arial" w:cs="Arial" w:eastAsia="Arial" w:hAnsi="Arial"/>
          <w:sz w:val="24"/>
          <w:szCs w:val="24"/>
        </w:rPr>
        <w:t xml:space="preserve">6) принятие нормативных правовых актов по вопросам условий оплаты труда, внедрения дополнительных надбавок и выплат.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sag0m2yusb_wmsmree1i">
      <w:r>
        <w:rPr>
          <w:rFonts w:ascii="Arial" w:cs="Arial" w:eastAsia="Arial" w:hAnsi="Arial"/>
          <w:color w:val="132D3F"/>
          <w:sz w:val="16"/>
          <w:szCs w:val="16"/>
          <w:u w:val="single"/>
        </w:rPr>
        <w:t xml:space="preserve">dalil.kg/document/160178</w:t>
      </w:r>
    </w:hyperlink>
  </w:p>
  <w:p>
    <w:pPr>
      <w:spacing w:after="0" w:before="40"/>
      <w:jc w:val="center"/>
    </w:pPr>
    <w:hyperlink w:history="1" r:id="rIdd9pqkc6vezzwhxc1b5gp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kx9zkgnexn0pxc1locgt" Type="http://schemas.openxmlformats.org/officeDocument/2006/relationships/hyperlink" Target="https://dalil.kg/document/159688" TargetMode="External"/><Relationship Id="rIdctxj749hxvravgw-stupz" Type="http://schemas.openxmlformats.org/officeDocument/2006/relationships/hyperlink" Target="https://dalil.kg/document/430901" TargetMode="External"/><Relationship Id="rIdh8axbgaedpm5_ccqy-hze" Type="http://schemas.openxmlformats.org/officeDocument/2006/relationships/hyperlink" Target="https://dalil.kg/document/430901" TargetMode="External"/><Relationship Id="rIdywh6kvy21w36q8ede8stg" Type="http://schemas.openxmlformats.org/officeDocument/2006/relationships/hyperlink" Target="https://dalil.kg/document/430901" TargetMode="External"/><Relationship Id="rId4hdgieksaarrrm3pffmpq" Type="http://schemas.openxmlformats.org/officeDocument/2006/relationships/hyperlink" Target="https://dalil.kg/document/95464" TargetMode="External"/><Relationship Id="rIdgkd8j-d82hkbutlz0zpaw" Type="http://schemas.openxmlformats.org/officeDocument/2006/relationships/hyperlink" Target="https://dalil.kg/document/93693" TargetMode="External"/><Relationship Id="rIdgokpvs1vgqokeeuigk1vi"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sag0m2yusb_wmsmree1i" Type="http://schemas.openxmlformats.org/officeDocument/2006/relationships/hyperlink" Target="https://dalil.kg/document/160178" TargetMode="External"/><Relationship Id="rIdd9pqkc6vezzwhxc1b5gp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2026-09-28T10:06:47.212Z</dcterms:created>
  <dcterms:modified xsi:type="dcterms:W3CDTF">2026-09-28T10:06:47.212Z</dcterms:modified>
</cp:coreProperties>
</file>

<file path=docProps/custom.xml><?xml version="1.0" encoding="utf-8"?>
<Properties xmlns="http://schemas.openxmlformats.org/officeDocument/2006/custom-properties" xmlns:vt="http://schemas.openxmlformats.org/officeDocument/2006/docPropsVTypes"/>
</file>