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16</w:t>
      </w:r>
      <w:r>
        <w:rPr>
          <w:rFonts w:ascii="Arial" w:cs="Arial" w:eastAsia="Arial" w:hAnsi="Arial"/>
          <w:sz w:val="24"/>
          <w:szCs w:val="24"/>
        </w:rPr>
        <w:t xml:space="preserve"> мая</w:t>
      </w:r>
      <w:r>
        <w:rPr>
          <w:rFonts w:ascii="Arial" w:cs="Arial" w:eastAsia="Arial" w:hAnsi="Arial"/>
          <w:sz w:val="24"/>
          <w:szCs w:val="24"/>
        </w:rPr>
        <w:t xml:space="preserve"> 2023 года № 257</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"Об утверждении Перечня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 от 4 октября 2021 года № 196</w:t>
      </w:r>
    </w:p>
    <w:p>
      <w:pPr>
        <w:spacing w:after="120"/>
        <w:jc w:val="both"/>
      </w:pPr>
      <w:r>
        <w:rPr>
          <w:rFonts w:ascii="Arial" w:cs="Arial" w:eastAsia="Arial" w:hAnsi="Arial"/>
          <w:sz w:val="24"/>
          <w:szCs w:val="24"/>
        </w:rPr>
        <w:t xml:space="preserve">В целях создания условий для развития возобновляемых источников энергии, в соответствии со </w:t>
      </w:r>
      <w:hyperlink w:history="1" r:id="rId7cahumrdw9wfwituvz1wn">
        <w:r>
          <w:rPr>
            <w:rFonts w:ascii="Arial" w:cs="Arial" w:eastAsia="Arial" w:hAnsi="Arial"/>
            <w:color w:val="1D4ED8"/>
            <w:sz w:val="24"/>
            <w:szCs w:val="24"/>
            <w:u w:val="single"/>
          </w:rPr>
          <w:t xml:space="preserve">статьей 297</w:t>
        </w:r>
      </w:hyperlink>
      <w:r>
        <w:rPr>
          <w:rFonts w:ascii="Arial" w:cs="Arial" w:eastAsia="Arial" w:hAnsi="Arial"/>
          <w:sz w:val="24"/>
          <w:szCs w:val="24"/>
        </w:rPr>
        <w:t xml:space="preserve"> Налогового кодекса Кыргызской Республики, статьями </w:t>
      </w:r>
      <w:hyperlink w:history="1" r:id="rIdprwgh9s18x9ken1vm0fn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i44d5vdzhlt-ogitv4e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uracpktdf3kgvrjw38z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Перечня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 от 4 октября 2021 года № 196 следующие изменения:</w:t>
      </w:r>
    </w:p>
    <w:p>
      <w:pPr>
        <w:spacing w:after="120"/>
        <w:jc w:val="both"/>
      </w:pPr>
      <w:hyperlink w:history="1" r:id="rIdax9segn2kuruw07yxxjhd">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утвержденный вышеуказанным постановлением, дополнить разделом "Прочее оборудование"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
        <w:gridCol w:w="1519"/>
        <w:gridCol w:w="8138"/>
      </w:tblGrid>
      <w:tr>
        <w:tc>
          <w:tcPr>
            <w:tcW w:type="dxa" w:w="5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ТН ВЭД ЕАЭС</w:t>
            </w:r>
          </w:p>
        </w:tc>
        <w:tc>
          <w:tcPr>
            <w:tcW w:type="dxa" w:w="81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Прочее оборудование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8504 22 100 0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более 650 кВА, но не более 1600 кВА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8504 23 000 9</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трансформаторы с жидким диэлектриком, мощностью более 10000 кВА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8504 32 000 2</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1 кВА, но не более 16 кВА, измерительные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8535 10 000 0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8535 21 000 0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более 1000 В, но менее 72,5 кВ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8535 29 000 0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более 1000 В, прочие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8535 30 200 0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 но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разъединители и прерыватели на напряжение 72,5 кВ и более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8535 30 900 1</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выключатели на напряжение не менее 110 кВ, но не более 550 кВ в корпусе из алюминиевого сплава, содержащем не менее двух монтажных фланцев с крепежными отверстиями, предназначенных для подсоединения внешней аппаратуры, где, по крайней мере, один из монтажных фланцев содержит крепежные отверстия, центры которых расположены на окружности диаметром не менее 330 мм, но не более 680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8535 30 900 2</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разъединители-заземлители на напряжение не менее 110 кВ, но не более 550 кВ в корпусе из алюминиевого сплава, содержащем не менее двух монтажных фланцев с крепежными отверстиями, предназначенных для подсоединения внешней аппаратуры, где, по крайней мере, два из монтажных фланцев содержат крепежные отверстия, центры которых расположены на окружности диаметром не менее 330 мм, но не более 680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8535 30 900 3</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заземлители на напряжение не менее 110 кВ, но не более 550 кВ в корпусе из алюминиевого сплава, содержащем, по крайней мере, два монтажных фланца, предназначенных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72,5 кВ и более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8535 40 000 0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 на напряжение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токоприемники, токосъемники и прочие соединители, соединительные коробки) на напряжение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8535 90 000 1</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Проходные изоляторы с одним или несколькими электродами на напряжение не менее 110 кВ, но не более 550 кВ в корпусе из алюминиевого сплава, содержащем монтажное фланцевое кольцо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не более 10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более 10 А, но не более 63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8536 10 900 0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более 63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8536 30 200 0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не более 16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более 16 А, но не более 125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8536 30 800 0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более 125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60 А, на силу тока не более 2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60 А, на силу тока более 2 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8536 49 000 0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1000 В, прочие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 на напряжение не более 1000 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8546 10 000 0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Изоляторы электрические стеклянные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8546 20 000 0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Изоляторы электрические керамические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8546 90 100 0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изоляторы электрические из пластмассы</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8501 53 990 0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переменного тока многофазные прочие, номинальной выходной мощностью более 750 кВт</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8501 64 000 0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750 кВА</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8410 90 000 9</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включая регуляторы для турбин гидравлических, колес водяных</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8426 11 000 0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мостовые на неподвижных опорах</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8481 80 850 8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затворы дисковые поворотные для трубопроводов, котлов, резервуаров, цистерн, баков или аналогичных емкостей</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8544 49 910 8</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(провода и кабели с изолированными проводниками диаметром более 0,51 мм)</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7305 31 000 0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Сварные прямошовные</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напряжение более 1000 В, но не более 72,5 кВ</w:t>
            </w:r>
          </w:p>
        </w:tc>
      </w:tr>
      <w:tr>
        <w:tc>
          <w:tcPr>
            <w:tcW w:type="dxa" w:w="5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8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газете "Эркин Тоо" от 23 мая 2023 года № 41 (3490)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litwv2qwibpslor1cqe">
      <w:r>
        <w:rPr>
          <w:rFonts w:ascii="Arial" w:cs="Arial" w:eastAsia="Arial" w:hAnsi="Arial"/>
          <w:color w:val="132D3F"/>
          <w:sz w:val="16"/>
          <w:szCs w:val="16"/>
          <w:u w:val="single"/>
        </w:rPr>
        <w:t xml:space="preserve">dalil.kg/document/160213</w:t>
      </w:r>
    </w:hyperlink>
  </w:p>
  <w:p>
    <w:pPr>
      <w:spacing w:after="0" w:before="40"/>
      <w:jc w:val="center"/>
    </w:pPr>
    <w:hyperlink w:history="1" r:id="rIdo423lu-4jrpqs3r1m0v6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cahumrdw9wfwituvz1wn" Type="http://schemas.openxmlformats.org/officeDocument/2006/relationships/hyperlink" Target="https://dalil.kg/document/112340#st_297" TargetMode="External"/><Relationship Id="rIdprwgh9s18x9ken1vm0fni" Type="http://schemas.openxmlformats.org/officeDocument/2006/relationships/hyperlink" Target="https://dalil.kg/document/112301#st_13" TargetMode="External"/><Relationship Id="rIdui44d5vdzhlt-ogitv4e8" Type="http://schemas.openxmlformats.org/officeDocument/2006/relationships/hyperlink" Target="https://dalil.kg/document/112301#st_17" TargetMode="External"/><Relationship Id="rIduracpktdf3kgvrjw38zhq" Type="http://schemas.openxmlformats.org/officeDocument/2006/relationships/hyperlink" Target="https://dalil.kg/document/158971" TargetMode="External"/><Relationship Id="rIdax9segn2kuruw07yxxjhd" Type="http://schemas.openxmlformats.org/officeDocument/2006/relationships/hyperlink" Target="https://dalil.kg/document/158971#pr"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litwv2qwibpslor1cqe" Type="http://schemas.openxmlformats.org/officeDocument/2006/relationships/hyperlink" Target="https://dalil.kg/document/160213" TargetMode="External"/><Relationship Id="rIdo423lu-4jrpqs3r1m0v6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2026-09-24T10:08:42.207Z</dcterms:created>
  <dcterms:modified xsi:type="dcterms:W3CDTF">2026-09-24T10:08:42.207Z</dcterms:modified>
</cp:coreProperties>
</file>

<file path=docProps/custom.xml><?xml version="1.0" encoding="utf-8"?>
<Properties xmlns="http://schemas.openxmlformats.org/officeDocument/2006/custom-properties" xmlns:vt="http://schemas.openxmlformats.org/officeDocument/2006/docPropsVTypes"/>
</file>