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im39rzdzttq012l_db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августа 2023 года № 398)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Экспертно-криминалистической службе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wp48gr7dwwns2eahmw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e2drly2udk-tzjkkg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Экспертно-криминалистической службы Министерства внутренних дел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внутренних дел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e32mfrlqs9rmzpwm0g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 в организационно-правовой форме государственного учреждения, имеет самостоятельный баланс, печать с изображением Государственного герба Кыргызской Республики, свое наименование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Эксперттик-криминалистикалык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"Экспертно-криминалистическая служба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ЭКК";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"ЭКС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Ведомственный контроль за деятельностью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</w:t>
      </w:r>
      <w:r>
        <w:rPr>
          <w:rFonts w:ascii="Arial" w:cs="Arial" w:eastAsia="Arial" w:hAnsi="Arial"/>
          <w:sz w:val="24"/>
          <w:szCs w:val="24"/>
        </w:rPr>
        <w:t xml:space="preserve">проспект Жибек-Жолу, 322</w:t>
      </w:r>
      <w:r>
        <w:rPr>
          <w:rFonts w:ascii="Arial" w:cs="Arial" w:eastAsia="Arial" w:hAnsi="Arial"/>
          <w:sz w:val="24"/>
          <w:szCs w:val="24"/>
        </w:rPr>
        <w:t xml:space="preserve">, почтовый индекс 720011.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gs5yazoojthgysszk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другими организациями и учреждениями, физическими и юридическими лицами,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Службы строится на принципах законности, соблюдения прав и свобод человека и гражданина, независимости судебного эксперта, объективности, всесторонности и полноты исследований, использования научно-технических средств и методов при проведении судебной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Службу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экспертно-криминалистической и судебно-экспертной деятельности в пределах компетенции, в соответствии с профилем, определенным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практической помощи судебным и правоохранительным органам в применении специальных знаний и технических средств, а также в установлении обстоятельств, подлежащих доказыванию, по конкретному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подразделений органов внутренних дел по вопросам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по исследованию, анализу, оценке и экспертизе в соответствии с законодательством в сфере предоставления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x-b_5cqioriopine2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экспертно-криминалистическую и судебно-экспертную деятельность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поручений судов, прокуроров, следователей и органов дознания посредством организации экспертно-криминалистической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специальные знания и технические средства в исследовании объектов экспертиз, а также в осмотре мест происшествия в целях обнаружения, фиксации, изъятия, упаковки вещественных доказательств;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качестве специалиста по уголовным, гражданским делам и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проектов нормативных правовых актов Кыргызской Республики в сфере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программных документов по судебно-экспертной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экспертных учреждений зарубежных стран и внедряет в экспертную практику новые методы и методики, осуществляет сотрудничество в сфере судебно-экспертной деятельности с иностранными государствами и международными организациями в пределах своей компетенции,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ведет и использует экспертно-криминалистический учет, государственную пулегильзотеку, базу данных геномной информации, а также другие виды картотек и натурных коллекций, информационные базы данных в зависимости от потребностей правоохранительных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сертификации гражданского и служебного оружия и патронов к нему, а также конструктивно сходных с ними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научно-исследовательские работы и опытно-конструкторские разработки, их практическую апробацию;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распространение методических пособий и материалов по вопросам судебно-экспертной и экспертно-криминалистической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сотрудниками Службы сертификации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по исследованию, анализу, оценке и экспертизе в соответствии с законодательством в сфере предоставления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pypbcsd5jcm4xdqew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на основе взаимного сотрудничества от подразделений Министерства, иных государственных органов и органов местного самоуправления, организаций независимо от их организационно-правовой формы и формы собственности документы, справочные и иные материалы, необходимые для принятия управленческих решений, подготовки информационно-аналитических и отчетных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и распространение подразделениям Службы методических пособий и материалов по вопросам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порядке базы данных органов внутренних дел, иных государственных органов и организаций с целью исполнения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научно-практическими институтами, учреждениями, предприятиями и организациями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национальных и международных грантовых программах по направлениям развития экспертно-криминалистической деятельности в установленном законодательном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установленном нормативными правовыми актами порядке внебюджетные средства (гранты, фонды) на укрепление и развитие материально-технической базы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может иметь и иные права в соответствии с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Службой осуществляет начальник Службы,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Службы имеет заместителей. Заместители начальника Службы назначаются на должность и освобождаются от должности министром внутренних дел Кыргызской Республики по представлению начальника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начальника Службы подчиняются непосредственно начальнику Службы, организуют деятельность Службы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Структура, схема управления, штатное расписание Службы утверждается министром внутренних дел Кыргызской Республики по предложению начальника Службы, в пределах утвержденной штатной численности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прохождения службы сотрудниками Службы регламентируется </w:t>
      </w:r>
      <w:hyperlink w:history="1" r:id="rIdic32zp89sbuxr8mfdz4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Начальник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организует работу Службы, принимает меры по совершенствованию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 Службы, утверждает функциональные обязанности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министру внутренних дел Кыргызской Республики о назначении, перемещении и освобождении от занимаемых должностей сотрудников Службы, присвоении им специальных званий, увольнении, наложении дисциплинарных взысканий и поощрений;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Службы и налагает дисциплинарные взыскания в порядке, установленном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подготовки, обучения и воспитания подчиненных, принимает меры по недопущению нарушений служебной дисциплины и законности среди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мониторинг коррупциогенных факторов с принятием мер по их устранению, проводит профилактическую и разъяснительную работу с сотрудниками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регулярный контроль за соблюдением законодательства сотрудниками Службы, включая мониторинг выполнения нормативных требований, анализ правомерности служебных действий и принятие мер при выявлении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заключать договора и совершать иные сделки, подписывать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vzlqqufgtyo7s2jcbg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2026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территориальных подразделений Службы назначаются на должность и освобождаются от должности руководителями территориальных подразделений органов внутренних дел по согласованию с начальником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Службы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Здания, сооружения, оборудование, инвентарь, другие материальные ценности и средства Службы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в установленном порядке вправе приобретать служебные помещения, а также другие виды основных средств, необходимые для осуществления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осуществляет в соответствии с нормативными правовыми актами Кыргызской Республики, ведомственными актами Министерства списание товарно-материальных ценностей, числящихся на балансе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Службы осуществляется в соответствии с законодательством Кыргызской Республики. При реорганизации все имущественные права и обязанности Службы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Службы документы, возникшие в ходе его деятельности, хранятся в соответствии с </w:t>
      </w:r>
      <w:hyperlink w:history="1" r:id="rId7ohezazaamqvckfsmqh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t4hjrtxc1q6tlg_j4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dalil.kg/document/160368</w:t>
      </w:r>
    </w:hyperlink>
  </w:p>
  <w:p>
    <w:pPr>
      <w:spacing w:after="0" w:before="40"/>
      <w:jc w:val="center"/>
    </w:pPr>
    <w:hyperlink w:history="1" r:id="rIdqgzxaaqnzys5xt2dww-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m39rzdzttq012l_dbjg" Type="http://schemas.openxmlformats.org/officeDocument/2006/relationships/hyperlink" Target="https://dalil.kg/document/160367" TargetMode="External"/><Relationship Id="rIdkwp48gr7dwwns2eahmwmu" Type="http://schemas.openxmlformats.org/officeDocument/2006/relationships/hyperlink" Target="https://dalil.kg/document/230020814" TargetMode="External"/><Relationship Id="rIdtie2drly2udk-tzjkkgje" Type="http://schemas.openxmlformats.org/officeDocument/2006/relationships/hyperlink" Target="https://dalil.kg/document/230045744" TargetMode="External"/><Relationship Id="rIde32mfrlqs9rmzpwm0gmdm" Type="http://schemas.openxmlformats.org/officeDocument/2006/relationships/hyperlink" Target="https://dalil.kg/document/112213" TargetMode="External"/><Relationship Id="rIdjxgs5yazoojthgysszkey" Type="http://schemas.openxmlformats.org/officeDocument/2006/relationships/hyperlink" Target="https://dalil.kg/document/230045744" TargetMode="External"/><Relationship Id="rIdizx-b_5cqioriopine27e" Type="http://schemas.openxmlformats.org/officeDocument/2006/relationships/hyperlink" Target="https://dalil.kg/document/230020814" TargetMode="External"/><Relationship Id="rIdzjpypbcsd5jcm4xdqewhb" Type="http://schemas.openxmlformats.org/officeDocument/2006/relationships/hyperlink" Target="https://dalil.kg/document/230020814" TargetMode="External"/><Relationship Id="rIdic32zp89sbuxr8mfdz4cl" Type="http://schemas.openxmlformats.org/officeDocument/2006/relationships/hyperlink" Target="https://dalil.kg/document/111956" TargetMode="External"/><Relationship Id="rIdhvzlqqufgtyo7s2jcbggo" Type="http://schemas.openxmlformats.org/officeDocument/2006/relationships/hyperlink" Target="https://dalil.kg/document/230045744" TargetMode="External"/><Relationship Id="rId7ohezazaamqvckfsmqh0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t4hjrtxc1q6tlg_j4od" Type="http://schemas.openxmlformats.org/officeDocument/2006/relationships/hyperlink" Target="https://dalil.kg/document/160368" TargetMode="External"/><Relationship Id="rIdqgzxaaqnzys5xt2dww-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2026-09-26T08:37:27.612Z</dcterms:created>
  <dcterms:modified xsi:type="dcterms:W3CDTF">2026-09-26T08:37:27.612Z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