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14 августа 2023 года № 415</w:t>
      </w:r>
    </w:p>
    <w:p>
      <w:pPr>
        <w:spacing w:after="120"/>
        <w:jc w:val="both"/>
      </w:pPr>
      <w:r>
        <w:rPr>
          <w:rFonts w:ascii="Arial" w:cs="Arial" w:eastAsia="Arial" w:hAnsi="Arial"/>
          <w:b/>
          <w:bCs/>
          <w:i w:val="false"/>
          <w:iCs w:val="false"/>
          <w:sz w:val="28"/>
          <w:szCs w:val="28"/>
        </w:rPr>
        <w:t xml:space="preserve">О мерах государственной поддержки развития дошкольного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ka0sml87g-cdm2igk3xoz">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решения проблемы нехватки мест в дошкольных образовательных организациях и увеличения охвата детей дошкольным образованием, в соответствии со </w:t>
      </w:r>
      <w:hyperlink w:history="1" r:id="rIdglfensmp5vib0qnq1afkg">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статьями </w:t>
      </w:r>
      <w:hyperlink w:history="1" r:id="rIdlqpxco6in2uk1zfed3tz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dlpyq11t_45qcwwrizu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проект "Льготное кредитование для развития дошкольного образования" согласно </w:t>
      </w:r>
      <w:hyperlink w:history="1" r:id="rIdmpcexmt4y0jhin2huvgl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Утвердить список выделенных участков для строительства дошкольных образовательных организаций в регионах Кыргызской Республики согласно </w:t>
      </w:r>
      <w:hyperlink w:history="1" r:id="rIdz7-9lctaacvfiruxf2xn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предусмотреть в республиканском бюджете Кыргызской Республики на 2024 и последующие годы средства в размере 10000000 (десять миллионов) сомов на реализацию пилотного проекта "Льготное кредитование для развития дошкольного образования";</w:t>
      </w:r>
    </w:p>
    <w:p>
      <w:pPr>
        <w:spacing w:after="60"/>
        <w:ind w:firstLine="567"/>
        <w:jc w:val="both"/>
      </w:pPr>
      <w:r>
        <w:rPr>
          <w:rFonts w:ascii="Arial" w:cs="Arial" w:eastAsia="Arial" w:hAnsi="Arial"/>
          <w:sz w:val="24"/>
          <w:szCs w:val="24"/>
        </w:rPr>
        <w:t xml:space="preserve">2) заключить соответствующие соглашения с открытыми акционерными обществами "РСК Банк", "Айыл Банк", "Керемет Банк" (далее - банки), участвующими в реализации проекта "Льготное кредитование для развития дошкольного образования".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mkks_kemnd0ielur7hvp">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Министерству образования и науки Кыргызской Республики:</w:t>
      </w:r>
    </w:p>
    <w:p>
      <w:pPr>
        <w:spacing w:after="120"/>
        <w:jc w:val="both"/>
      </w:pPr>
      <w:r>
        <w:rPr>
          <w:rFonts w:ascii="Arial" w:cs="Arial" w:eastAsia="Arial" w:hAnsi="Arial"/>
          <w:sz w:val="24"/>
          <w:szCs w:val="24"/>
        </w:rPr>
        <w:t xml:space="preserve">1) поручить высшим учебным заведениям и средним профессиональным учебным заведениям, реализующим программы педагогической подготовки, за счет специальных средств создать практические лаборатории в виде дошкольных образовательных организаций;</w:t>
      </w:r>
    </w:p>
    <w:p>
      <w:pPr>
        <w:spacing w:after="60"/>
        <w:ind w:firstLine="567"/>
        <w:jc w:val="both"/>
      </w:pPr>
      <w:r>
        <w:rPr>
          <w:rFonts w:ascii="Arial" w:cs="Arial" w:eastAsia="Arial" w:hAnsi="Arial"/>
          <w:sz w:val="24"/>
          <w:szCs w:val="24"/>
        </w:rPr>
        <w:t xml:space="preserve">2) совместно с банками (по согласованию), участвующими в реализации проекта "Льготное кредитование для развития дошкольного образования", проводить мониторинг хода реализации данного проекта, оценку его эффективности и ежегодно в срок до 1 декабря представлять результаты в Администрацию Президента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ioj2hrbrbkcakdjc1kwa">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Центру государственно-частного партнерства при Национальном агентстве по инвестициям при Президенте Кыргызской Республики в установленном порядке оказать содействие Министерству образования и науки Кыргызской Республики в инициировании проекта государственно-частного партнерства для производства дидактических материалов, игрушек и мебели, специально разработанных для дошкольных образовательных организаций.</w:t>
      </w:r>
    </w:p>
    <w:p>
      <w:pPr>
        <w:spacing w:after="120"/>
        <w:jc w:val="both"/>
      </w:pPr>
      <w:r>
        <w:rPr>
          <w:rFonts w:ascii="Arial" w:cs="Arial" w:eastAsia="Arial" w:hAnsi="Arial"/>
          <w:sz w:val="24"/>
          <w:szCs w:val="24"/>
        </w:rPr>
        <w:t xml:space="preserve">6. Рекомендовать органам местного самоуправления в установленном порядке обеспечить подключение внешних и внутренних инженерных сетей за счет средств доноров, меценатов при строительстве дошкольных образовательных организаций любой формы собственности.</w:t>
      </w:r>
    </w:p>
    <w:p>
      <w:pPr>
        <w:spacing w:after="120"/>
        <w:jc w:val="both"/>
      </w:pPr>
      <w:r>
        <w:rPr>
          <w:rFonts w:ascii="Arial" w:cs="Arial" w:eastAsia="Arial" w:hAnsi="Arial"/>
          <w:sz w:val="24"/>
          <w:szCs w:val="24"/>
        </w:rPr>
        <w:t xml:space="preserve">7. Внести в </w:t>
      </w:r>
      <w:hyperlink w:history="1" r:id="rId2vegjyq8dfku7iqko9e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Комиссии по увековечению памяти выдающихся деятелей Кыргызской Республики при Кабинете Министров Кыргызской Республики" от 6 мая 2013 года № 244 следующее изменение:</w:t>
      </w:r>
    </w:p>
    <w:p>
      <w:pPr>
        <w:spacing w:after="120"/>
        <w:jc w:val="both"/>
      </w:pPr>
      <w:r>
        <w:rPr>
          <w:rFonts w:ascii="Arial" w:cs="Arial" w:eastAsia="Arial" w:hAnsi="Arial"/>
          <w:sz w:val="24"/>
          <w:szCs w:val="24"/>
        </w:rPr>
        <w:t xml:space="preserve">в </w:t>
      </w:r>
      <w:hyperlink w:history="1" r:id="rIde4t_9jn5fgoivy-p_uid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увековечению памяти выдающихся деятелей Кыргызской Республики при Кабинете Министров Кыргызской Республики, утвержденном вышеуказанным </w:t>
      </w:r>
      <w:hyperlink w:history="1" r:id="rIdulw1ipppn6nnjplh11yv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15 дополнить абзацем восьмым следующего содержания:</w:t>
      </w:r>
    </w:p>
    <w:p>
      <w:pPr>
        <w:spacing w:after="120"/>
        <w:jc w:val="both"/>
      </w:pPr>
      <w:r>
        <w:rPr>
          <w:rFonts w:ascii="Arial" w:cs="Arial" w:eastAsia="Arial" w:hAnsi="Arial"/>
          <w:sz w:val="24"/>
          <w:szCs w:val="24"/>
        </w:rPr>
        <w:t xml:space="preserve">"- присвоение дошкольным образовательным организациям с государственной и муниципальной формой собственности имен меценатов, внесших вклад в развитие дошкольного образования путем строительства зданий дошкольных образовательных организаций,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8. Внести в </w:t>
      </w:r>
      <w:hyperlink w:history="1" r:id="rIdpoowgxtl4awy7citfp7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zkrvdodunwv_6tcvoqg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следующее изменение:</w:t>
      </w:r>
    </w:p>
    <w:p>
      <w:pPr>
        <w:spacing w:after="120"/>
        <w:jc w:val="both"/>
      </w:pPr>
      <w:r>
        <w:rPr>
          <w:rFonts w:ascii="Arial" w:cs="Arial" w:eastAsia="Arial" w:hAnsi="Arial"/>
          <w:sz w:val="24"/>
          <w:szCs w:val="24"/>
        </w:rPr>
        <w:t xml:space="preserve">в </w:t>
      </w:r>
      <w:hyperlink w:history="1" r:id="rIdbvs19li-rtobcyj1lila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pfc-pp_3gii340gzzaqh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55-13 изложить в следующей редакции:</w:t>
      </w:r>
    </w:p>
    <w:p>
      <w:pPr>
        <w:spacing w:after="120"/>
        <w:jc w:val="both"/>
      </w:pPr>
      <w:r>
        <w:rPr>
          <w:rFonts w:ascii="Arial" w:cs="Arial" w:eastAsia="Arial" w:hAnsi="Arial"/>
          <w:sz w:val="24"/>
          <w:szCs w:val="24"/>
        </w:rPr>
        <w:t xml:space="preserve">"55-13. Кабинет Министров Кыргызской Республики своим решением вправе предоставить земельный участок, находящийся в пользовании государственного землепользователя, в аренду сроком до 49 лет:</w:t>
      </w:r>
    </w:p>
    <w:p>
      <w:pPr>
        <w:spacing w:after="120"/>
        <w:jc w:val="both"/>
      </w:pPr>
      <w:r>
        <w:rPr>
          <w:rFonts w:ascii="Arial" w:cs="Arial" w:eastAsia="Arial" w:hAnsi="Arial"/>
          <w:sz w:val="24"/>
          <w:szCs w:val="24"/>
        </w:rPr>
        <w:t xml:space="preserve">- для строительства объектов социально-культурного назначения с вложениями более одного миллиарда сомов;</w:t>
      </w:r>
    </w:p>
    <w:p>
      <w:pPr>
        <w:spacing w:after="120"/>
        <w:jc w:val="both"/>
      </w:pPr>
      <w:r>
        <w:rPr>
          <w:rFonts w:ascii="Arial" w:cs="Arial" w:eastAsia="Arial" w:hAnsi="Arial"/>
          <w:sz w:val="24"/>
          <w:szCs w:val="24"/>
        </w:rPr>
        <w:t xml:space="preserve">- до 0,75 га для строительства дошкольных образовательных организаций.".</w:t>
      </w:r>
    </w:p>
    <w:p>
      <w:pPr>
        <w:spacing w:after="120"/>
        <w:jc w:val="both"/>
      </w:pPr>
      <w:r>
        <w:rPr>
          <w:rFonts w:ascii="Arial" w:cs="Arial" w:eastAsia="Arial" w:hAnsi="Arial"/>
          <w:sz w:val="24"/>
          <w:szCs w:val="24"/>
        </w:rPr>
        <w:t xml:space="preserve">9. Министерствам, административным ведомствам, местным государственным администрациям Кыргызской Республики:</w:t>
      </w:r>
    </w:p>
    <w:p>
      <w:pPr>
        <w:spacing w:after="120"/>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11.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августа 2023 года № 69 (3518)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Проект
 "Льготное кредитование для развития дошкольного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kit6ttbu22acvfnd5bi9">
        <w:r>
          <w:rPr>
            <w:rFonts w:ascii="Arial" w:cs="Arial" w:eastAsia="Arial" w:hAnsi="Arial"/>
            <w:i/>
            <w:iCs/>
            <w:color w:val="1D4ED8"/>
            <w:sz w:val="24"/>
            <w:szCs w:val="24"/>
            <w:u w:val="single"/>
          </w:rPr>
          <w:t xml:space="preserve">12 апреля 2024 года № 176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Целью проекта "Льготное кредитование для развития дошкольного образования" (далее - Проект) является оказание государственной поддержки субъектам предпринимательства и физическим лицам Кыргызской Республики.</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Источники финансирования: республиканский бюджет Кыргызской Республики на 2024-2025 и последующие годы, средства открытых акционерных обществ "РСК Банк", "Айыл Банк", "Керемет Банк" (далее - банки).</w:t>
      </w:r>
    </w:p>
    <w:p>
      <w:pPr>
        <w:spacing w:after="60"/>
        <w:ind w:firstLine="567"/>
        <w:jc w:val="both"/>
      </w:pPr>
      <w:r>
        <w:rPr>
          <w:rFonts w:ascii="Arial" w:cs="Arial" w:eastAsia="Arial" w:hAnsi="Arial"/>
          <w:sz w:val="24"/>
          <w:szCs w:val="24"/>
        </w:rPr>
        <w:t xml:space="preserve">4. Начало реализации Проекта - январь 2024 года.</w:t>
      </w:r>
    </w:p>
    <w:p>
      <w:pPr>
        <w:spacing w:after="6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образования и науки Кыргызской Республики, Государственное агентство архитектуры, строительства и жилищно-коммунального хозяйства при Кабинете Министров Кыргызской Республики (по согласованию), банки (по согласованию), участвующие в реализации Проекта.</w:t>
      </w:r>
    </w:p>
    <w:p>
      <w:pPr>
        <w:spacing w:after="60"/>
        <w:ind w:firstLine="567"/>
        <w:jc w:val="both"/>
      </w:pPr>
      <w:r>
        <w:rPr>
          <w:rFonts w:ascii="Arial" w:cs="Arial" w:eastAsia="Arial" w:hAnsi="Arial"/>
          <w:sz w:val="24"/>
          <w:szCs w:val="24"/>
        </w:rPr>
        <w:t xml:space="preserve">6. Описание Проекта. В целях расширения сети дошкольных образовательных организаций и обеспечения широкого охвата детей дошкольным образованием в рамках Проекта в течение 2024 года финансовые средства банков будут предоставляться субъектам предпринимательства и физическим лицам для строительства новых зданий дошкольных образовательных организаций, проведения капитального ремонта/реконструкции уже имеющихся зданий, а также закупки основных средств по льготным процентным ставкам.</w:t>
      </w:r>
    </w:p>
    <w:p>
      <w:pPr>
        <w:spacing w:after="60"/>
        <w:ind w:firstLine="567"/>
        <w:jc w:val="both"/>
      </w:pPr>
      <w:r>
        <w:rPr>
          <w:rFonts w:ascii="Arial" w:cs="Arial" w:eastAsia="Arial" w:hAnsi="Arial"/>
          <w:sz w:val="24"/>
          <w:szCs w:val="24"/>
        </w:rPr>
        <w:t xml:space="preserve">7. Кабинет Министров Кыргызской Республики субсидирует расходы банков из средств республиканского бюджета на 2024-2028 годы за размещение кредитов по льготным процентным ставкам.</w:t>
      </w:r>
    </w:p>
    <w:p>
      <w:pPr>
        <w:spacing w:after="60"/>
        <w:ind w:firstLine="567"/>
        <w:jc w:val="both"/>
      </w:pPr>
      <w:r>
        <w:rPr>
          <w:rFonts w:ascii="Arial" w:cs="Arial" w:eastAsia="Arial" w:hAnsi="Arial"/>
          <w:sz w:val="24"/>
          <w:szCs w:val="24"/>
        </w:rPr>
        <w:t xml:space="preserve">8. Порядок предоставления кредитов определяется согласно внутренним нормативным документам банков и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9. Все риски по возврату выданных кредитов несут банки, отбор заемщиков производится в соответствии с их внутренними процедурами из списка заемщиков, одобренного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10. Банки вправе осуществлять финансирование строительства зданий дошкольных образовательных организаций, проведения капитального ремонта/реконструкции, а также приобретения и обновления основных средств в рамках настоящего Проекта с участием гарантий открытого акционерного общества "Гарантийный фонд".</w:t>
      </w:r>
    </w:p>
    <w:p>
      <w:pPr>
        <w:spacing w:after="120"/>
        <w:ind w:firstLine="567"/>
        <w:jc w:val="both"/>
      </w:pPr>
      <w:r>
        <w:rPr>
          <w:rFonts w:ascii="Arial" w:cs="Arial" w:eastAsia="Arial" w:hAnsi="Arial"/>
          <w:sz w:val="24"/>
          <w:szCs w:val="24"/>
        </w:rPr>
        <w:t xml:space="preserve">11. Банки, участвующие в Проекте, могут кредитовать заемщиков на следующих основных общих условиях: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
        <w:gridCol w:w="2434"/>
        <w:gridCol w:w="7450"/>
      </w:tblGrid>
      <w:tr>
        <w:tc>
          <w:tcPr>
            <w:tcW w:type="dxa" w:w="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льготного кредита</w:t>
            </w:r>
          </w:p>
        </w:tc>
        <w:tc>
          <w:tcPr>
            <w:tcW w:type="dxa" w:w="74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государственной финансовой поддержки субъектам предпринимательства и физическим лицам в строительстве зданий дошкольных образовательных организаций, проведении капитального ремонта/реконструкции, приобретении и обновлении основных средств</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кредитования, субсидирования в сомах</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кредита на:</w:t>
            </w:r>
            <w:r>
              <w:rPr>
                <w:rFonts w:ascii="Arial" w:cs="Arial" w:eastAsia="Arial" w:hAnsi="Arial"/>
                <w:sz w:val="24"/>
                <w:szCs w:val="24"/>
              </w:rPr>
              <w:t xml:space="preserve">1) строительство зданий дошкольных образовательных организаций на сумму до 70,0 млн. сомов, сроком на 60 месяцев;</w:t>
            </w:r>
            <w:r>
              <w:rPr>
                <w:rFonts w:ascii="Arial" w:cs="Arial" w:eastAsia="Arial" w:hAnsi="Arial"/>
                <w:sz w:val="24"/>
                <w:szCs w:val="24"/>
              </w:rPr>
              <w:t xml:space="preserve">2) проведение капитального ремонта/реконструкции (с учетом основных средств) на сумму до 50,0 млн. сомов, сроком на 60 месяцев;</w:t>
            </w:r>
            <w:r>
              <w:rPr>
                <w:rFonts w:ascii="Arial" w:cs="Arial" w:eastAsia="Arial" w:hAnsi="Arial"/>
                <w:sz w:val="24"/>
                <w:szCs w:val="24"/>
              </w:rPr>
              <w:t xml:space="preserve">3) приобретение и обновление основных средств на сумму до 10,0 млн. сомов, сроком на 36 месяцев</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Предметом залогового обеспечения может быть:</w:t>
            </w:r>
            <w:r>
              <w:rPr>
                <w:rFonts w:ascii="Arial" w:cs="Arial" w:eastAsia="Arial" w:hAnsi="Arial"/>
                <w:sz w:val="24"/>
                <w:szCs w:val="24"/>
              </w:rPr>
              <w:t xml:space="preserve">- земельный участок, находящийся в собственности заемщика;</w:t>
            </w:r>
            <w:r>
              <w:rPr>
                <w:rFonts w:ascii="Arial" w:cs="Arial" w:eastAsia="Arial" w:hAnsi="Arial"/>
                <w:sz w:val="24"/>
                <w:szCs w:val="24"/>
              </w:rPr>
              <w:t xml:space="preserve">- недвижимое имущество;</w:t>
            </w:r>
            <w:r>
              <w:rPr>
                <w:rFonts w:ascii="Arial" w:cs="Arial" w:eastAsia="Arial" w:hAnsi="Arial"/>
                <w:sz w:val="24"/>
                <w:szCs w:val="24"/>
              </w:rPr>
              <w:t xml:space="preserve">- в случае нехватки залогового обеспечения возможно принятие гарантии ОАО "Гарантийный фонд" на условиях соглашений, заключенных между банком и ОАО "Гарантийный фонд"</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Предоставленная смета на строительство или проведение капитального ремонта/реконструкции должна быть разделена на этапы проведения работ:</w:t>
            </w:r>
            <w:r>
              <w:rPr>
                <w:rFonts w:ascii="Arial" w:cs="Arial" w:eastAsia="Arial" w:hAnsi="Arial"/>
                <w:sz w:val="24"/>
                <w:szCs w:val="24"/>
              </w:rPr>
              <w:t xml:space="preserve">- фундамент;</w:t>
            </w:r>
            <w:r>
              <w:rPr>
                <w:rFonts w:ascii="Arial" w:cs="Arial" w:eastAsia="Arial" w:hAnsi="Arial"/>
                <w:sz w:val="24"/>
                <w:szCs w:val="24"/>
              </w:rPr>
              <w:t xml:space="preserve">- возведение стен и кровельные работы;</w:t>
            </w:r>
            <w:r>
              <w:rPr>
                <w:rFonts w:ascii="Arial" w:cs="Arial" w:eastAsia="Arial" w:hAnsi="Arial"/>
                <w:sz w:val="24"/>
                <w:szCs w:val="24"/>
              </w:rPr>
              <w:t xml:space="preserve">- подведение коммуникаций;</w:t>
            </w:r>
            <w:r>
              <w:rPr>
                <w:rFonts w:ascii="Arial" w:cs="Arial" w:eastAsia="Arial" w:hAnsi="Arial"/>
                <w:sz w:val="24"/>
                <w:szCs w:val="24"/>
              </w:rPr>
              <w:t xml:space="preserve">- отделочные работы и т.д., согласно которым заемщик обязан предоставлять отчет об освоении и целевом использовании заемных средств. В случае неисполнения заемщиком данных обязательств банк имеет право приостановить выдачу кредита и потребовать досрочного погашения кредита</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строительству</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собственного земельного участка, или участка, предоставленного в аренду сроком на 49 лет;</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(наличие положительного заключения экспертизы уполномоченным органом).</w:t>
            </w:r>
            <w:r>
              <w:rPr>
                <w:rFonts w:ascii="Arial" w:cs="Arial" w:eastAsia="Arial" w:hAnsi="Arial"/>
                <w:sz w:val="24"/>
                <w:szCs w:val="24"/>
              </w:rPr>
              <w:t xml:space="preserve">Проект сметы строительных работ должен быть согласован с управлением по градостроительству и архитектуре местной государственной администрации или органа местного самоуправления, при этом составитель сметы должен иметь квалификационный сертификат.</w:t>
            </w:r>
            <w:r>
              <w:rPr>
                <w:rFonts w:ascii="Arial" w:cs="Arial" w:eastAsia="Arial" w:hAnsi="Arial"/>
                <w:sz w:val="24"/>
                <w:szCs w:val="24"/>
              </w:rPr>
              <w:t xml:space="preserve">Максимальная стоимость строительства здания за 1 кв.м с учетом работ и затраченных строительных материалов не должна превышать 63 тыс. сом.</w:t>
            </w:r>
            <w:r>
              <w:rPr>
                <w:rFonts w:ascii="Arial" w:cs="Arial" w:eastAsia="Arial" w:hAnsi="Arial"/>
                <w:sz w:val="24"/>
                <w:szCs w:val="24"/>
              </w:rPr>
              <w:t xml:space="preserve">Максимальный срок строительства - не более 18 месяцев с момента выдачи первого транша на строительство</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проведению капитального ремонта/реконструкции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образования и науки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 проведение строительно-монтажных работ по капитальному ремонту/реконструкции здания</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приобретению и обновлению основных средств</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наличие у заемщика счет-фактур, накладных и других документов, подтверждающих факт приобретения или обновления</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льготного кредитования</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 Кыргызской Республики, не являющийся инсайдером или аффилированным лицом финансово-кредитных организаций.</w:t>
            </w:r>
            <w:r>
              <w:rPr>
                <w:rFonts w:ascii="Arial" w:cs="Arial" w:eastAsia="Arial" w:hAnsi="Arial"/>
                <w:sz w:val="24"/>
                <w:szCs w:val="24"/>
              </w:rPr>
              <w:t xml:space="preserve">2. Субъект предпринимательства/физическое лицо, надлежащим образом зарегистрированное во всех государственных органах Кыргызской Республики,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 а также получившее одобрение на участие в Проекте от Министерства образования и науки Кыргызской Республики.</w:t>
            </w:r>
            <w:r>
              <w:rPr>
                <w:rFonts w:ascii="Arial" w:cs="Arial" w:eastAsia="Arial" w:hAnsi="Arial"/>
                <w:sz w:val="24"/>
                <w:szCs w:val="24"/>
              </w:rPr>
              <w:t xml:space="preserve">3. Наличие собственных средств в размере до 30% от сметной стоимости строительства объекта.</w:t>
            </w:r>
            <w:r>
              <w:rPr>
                <w:rFonts w:ascii="Arial" w:cs="Arial" w:eastAsia="Arial" w:hAnsi="Arial"/>
                <w:sz w:val="24"/>
                <w:szCs w:val="24"/>
              </w:rPr>
              <w:t xml:space="preserve">4. Заемщик должен быть платежеспособным, доходы должны соответствовать внутренней нормативной документации банка</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ставка в размере 10%.</w:t>
            </w:r>
            <w:r>
              <w:rPr>
                <w:rFonts w:ascii="Arial" w:cs="Arial" w:eastAsia="Arial" w:hAnsi="Arial"/>
                <w:sz w:val="24"/>
                <w:szCs w:val="24"/>
              </w:rPr>
              <w:t xml:space="preserve">При пролонгации или реструктуризации кредита свыше установленного срока пользования кредитом процентная ставка по кредиту устанавливается в размере действующих на дату реструктуризации ставок по кредитам, выдаваемым банком на аналогичные цели</w:t>
            </w:r>
          </w:p>
        </w:tc>
      </w:tr>
      <w:tr>
        <w:tc>
          <w:tcPr>
            <w:tcW w:type="dxa" w:w="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обнаружения нецелевого использования кредитных средств, к заемщикам применяются финансовые санкции путем изменения процентных ставок по кредиту на 25 процентов годовых, со дня получения кредита или досрочного погашения кредита в течение 30 календарных дней со дня обнаружения</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этом банки вправе устанавливать дополнительные требования к заемщикам.</w:t>
      </w:r>
    </w:p>
    <w:p>
      <w:pPr>
        <w:spacing w:after="60"/>
        <w:ind w:firstLine="567"/>
        <w:jc w:val="both"/>
      </w:pPr>
      <w:r>
        <w:rPr>
          <w:rFonts w:ascii="Arial" w:cs="Arial" w:eastAsia="Arial" w:hAnsi="Arial"/>
          <w:sz w:val="24"/>
          <w:szCs w:val="24"/>
        </w:rPr>
        <w:t xml:space="preserve">12. Залоговым имуществом также может являться строящееся здание дошкольной образовательной организации, земельный участок, находящийся в собственности заемщика, в период и после строительства.</w:t>
      </w:r>
    </w:p>
    <w:p>
      <w:pPr>
        <w:spacing w:after="60"/>
        <w:ind w:firstLine="567"/>
        <w:jc w:val="both"/>
      </w:pPr>
      <w:r>
        <w:rPr>
          <w:rFonts w:ascii="Arial" w:cs="Arial" w:eastAsia="Arial" w:hAnsi="Arial"/>
          <w:sz w:val="24"/>
          <w:szCs w:val="24"/>
        </w:rPr>
        <w:t xml:space="preserve">13. 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с заявлением о получении гарантии на условиях, заключенных между банком и Гарантийным фондом.</w:t>
      </w:r>
    </w:p>
    <w:p>
      <w:pPr>
        <w:spacing w:after="200" w:before="200"/>
        <w:jc w:val="center"/>
      </w:pPr>
      <w:r>
        <w:rPr>
          <w:rFonts w:ascii="Arial" w:cs="Arial" w:eastAsia="Arial" w:hAnsi="Arial"/>
          <w:b/>
          <w:bCs/>
          <w:sz w:val="32"/>
          <w:szCs w:val="32"/>
        </w:rPr>
        <w:t xml:space="preserve">Глава 2. Описание реализации Проекта</w:t>
      </w:r>
    </w:p>
    <w:p>
      <w:pPr>
        <w:spacing w:after="60"/>
        <w:ind w:firstLine="567"/>
        <w:jc w:val="both"/>
      </w:pPr>
      <w:r>
        <w:rPr>
          <w:rFonts w:ascii="Arial" w:cs="Arial" w:eastAsia="Arial" w:hAnsi="Arial"/>
          <w:sz w:val="24"/>
          <w:szCs w:val="24"/>
        </w:rPr>
        <w:t xml:space="preserve">14. Банки, изъявившие желание участвовать в Проекте, в 15-дневный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11,41 процента годовых.</w:t>
      </w:r>
    </w:p>
    <w:p>
      <w:pPr>
        <w:spacing w:after="60"/>
        <w:ind w:firstLine="567"/>
        <w:jc w:val="both"/>
      </w:pPr>
      <w:r>
        <w:rPr>
          <w:rFonts w:ascii="Arial" w:cs="Arial" w:eastAsia="Arial" w:hAnsi="Arial"/>
          <w:sz w:val="24"/>
          <w:szCs w:val="24"/>
        </w:rPr>
        <w:t xml:space="preserve">15. В целях надлежащего информирования населения о реализации Проекта Министерство образования и науки Кыргызской Республики, Министерство финансов Кыргызской Республики, банки, участвующие в его реализации, должны опубликовать в средствах массовой информации, на информационных стендах и официальных сайтах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16. Для получения субсидий в рамках Проекта банки ежеквартально представляют в Министерство финансов Кыргызской Республики заявку на субсидирование с указанием фактической суммы кредитования за прошедший квартал.</w:t>
      </w:r>
    </w:p>
    <w:p>
      <w:pPr>
        <w:spacing w:after="60"/>
        <w:ind w:firstLine="567"/>
        <w:jc w:val="both"/>
      </w:pPr>
      <w:r>
        <w:rPr>
          <w:rFonts w:ascii="Arial" w:cs="Arial" w:eastAsia="Arial" w:hAnsi="Arial"/>
          <w:sz w:val="24"/>
          <w:szCs w:val="24"/>
        </w:rPr>
        <w:t xml:space="preserve">17.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квартал для перечисления банкам транша субсидий.</w:t>
      </w:r>
    </w:p>
    <w:p>
      <w:pPr>
        <w:spacing w:after="60"/>
        <w:ind w:firstLine="567"/>
        <w:jc w:val="both"/>
      </w:pPr>
      <w:r>
        <w:rPr>
          <w:rFonts w:ascii="Arial" w:cs="Arial" w:eastAsia="Arial" w:hAnsi="Arial"/>
          <w:sz w:val="24"/>
          <w:szCs w:val="24"/>
        </w:rPr>
        <w:t xml:space="preserve">18. Транши субсидий переводятся на расчетные счета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60"/>
        <w:ind w:firstLine="567"/>
        <w:jc w:val="both"/>
      </w:pPr>
      <w:r>
        <w:rPr>
          <w:rFonts w:ascii="Arial" w:cs="Arial" w:eastAsia="Arial" w:hAnsi="Arial"/>
          <w:sz w:val="24"/>
          <w:szCs w:val="24"/>
        </w:rPr>
        <w:t xml:space="preserve">19. Надзор за деятельностью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20. Банки еженедельно предоставляют Министерству финансов Кыргызской Республики и Министерству образования и науки Кыргызской Республики информацию о выданных кредитах.</w:t>
      </w:r>
    </w:p>
    <w:p>
      <w:pPr>
        <w:spacing w:after="200" w:before="200"/>
        <w:jc w:val="center"/>
      </w:pPr>
      <w:r>
        <w:rPr>
          <w:rFonts w:ascii="Arial" w:cs="Arial" w:eastAsia="Arial" w:hAnsi="Arial"/>
          <w:b/>
          <w:bCs/>
          <w:sz w:val="32"/>
          <w:szCs w:val="32"/>
        </w:rPr>
        <w:t xml:space="preserve">Глава 3. Расчет субсидий</w:t>
      </w:r>
    </w:p>
    <w:p>
      <w:pPr>
        <w:spacing w:after="60"/>
        <w:ind w:firstLine="567"/>
        <w:jc w:val="both"/>
      </w:pPr>
      <w:r>
        <w:rPr>
          <w:rFonts w:ascii="Arial" w:cs="Arial" w:eastAsia="Arial" w:hAnsi="Arial"/>
          <w:sz w:val="24"/>
          <w:szCs w:val="24"/>
        </w:rPr>
        <w:t xml:space="preserve">21. Для покрытия расходов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банков согласно данным Национального банка Кыргызской Республики на 2022 год:</w:t>
      </w:r>
    </w:p>
    <w:p>
      <w:pPr>
        <w:spacing w:after="60"/>
        <w:ind w:firstLine="567"/>
        <w:jc w:val="both"/>
      </w:pPr>
      <w:r>
        <w:rPr>
          <w:rFonts w:ascii="Arial" w:cs="Arial" w:eastAsia="Arial" w:hAnsi="Arial"/>
          <w:sz w:val="24"/>
          <w:szCs w:val="24"/>
        </w:rPr>
        <w:t xml:space="preserve">1) ставка субсидирования составляет 11,41 процента годовых независимо от размера процентной ставки;</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31,84. Из них часть субсидий перечисляется в 2024 году по расчетному коэффициенту 10,28; часть - в 2025 году по расчетному коэффициенту 9,84; часть - в 2026 году по расчетному коэффициенту 6,44; часть - в 2027 году по расчетному коэффициенту 3,91; часть - в 2028 году по расчетному коэффициенту 1,37;</w:t>
      </w:r>
    </w:p>
    <w:p>
      <w:pPr>
        <w:spacing w:after="60"/>
        <w:ind w:firstLine="567"/>
        <w:jc w:val="both"/>
      </w:pPr>
      <w:r>
        <w:rPr>
          <w:rFonts w:ascii="Arial" w:cs="Arial" w:eastAsia="Arial" w:hAnsi="Arial"/>
          <w:sz w:val="24"/>
          <w:szCs w:val="24"/>
        </w:rPr>
        <w:t xml:space="preserve">3) для кредитов, выдаваемых сроком на 36 месяцев, расчетный коэффициент субсидирования составляет 20,44. Из них часть субсидий перечисляется в 2024 году по расчетному коэффициенту 10,14; часть - в 2025 году по расчетному коэффициенту 7,83; часть - в 2026 году по расчетному коэффициенту 2,47.</w:t>
      </w:r>
    </w:p>
    <w:p>
      <w:pPr>
        <w:spacing w:after="60"/>
        <w:ind w:firstLine="567"/>
        <w:jc w:val="both"/>
      </w:pPr>
      <w:r>
        <w:rPr>
          <w:rFonts w:ascii="Arial" w:cs="Arial" w:eastAsia="Arial" w:hAnsi="Arial"/>
          <w:sz w:val="24"/>
          <w:szCs w:val="24"/>
        </w:rPr>
        <w:t xml:space="preserve">22. Расчет коэффициентов субсидий по Проекту в разбивке по срокам и месяцам для применения начисления субсидий по выданным кредитам и для пересчета (возврата) субсидий в случае досрочных погашений кредитов предоставляется со стороны Министерства финансов Кыргызской Республики.</w:t>
      </w:r>
    </w:p>
    <w:p>
      <w:pPr>
        <w:spacing w:after="60"/>
        <w:ind w:firstLine="567"/>
        <w:jc w:val="both"/>
      </w:pPr>
      <w:r>
        <w:rPr>
          <w:rFonts w:ascii="Arial" w:cs="Arial" w:eastAsia="Arial" w:hAnsi="Arial"/>
          <w:sz w:val="24"/>
          <w:szCs w:val="24"/>
        </w:rPr>
        <w:t xml:space="preserve">23.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При необходимости Министерство финансов Кыргызской Республики может менять ставку субсидирования.</w:t>
      </w:r>
    </w:p>
    <w:p>
      <w:pPr>
        <w:spacing w:after="200" w:before="200"/>
        <w:jc w:val="center"/>
      </w:pPr>
      <w:r>
        <w:rPr>
          <w:rFonts w:ascii="Arial" w:cs="Arial" w:eastAsia="Arial" w:hAnsi="Arial"/>
          <w:b/>
          <w:bCs/>
          <w:sz w:val="32"/>
          <w:szCs w:val="32"/>
        </w:rPr>
        <w:t xml:space="preserve">Глава 4. Перечисление субсидий</w:t>
      </w:r>
    </w:p>
    <w:p>
      <w:pPr>
        <w:spacing w:after="60"/>
        <w:ind w:firstLine="567"/>
        <w:jc w:val="both"/>
      </w:pPr>
      <w:r>
        <w:rPr>
          <w:rFonts w:ascii="Arial" w:cs="Arial" w:eastAsia="Arial" w:hAnsi="Arial"/>
          <w:sz w:val="24"/>
          <w:szCs w:val="24"/>
        </w:rPr>
        <w:t xml:space="preserve">24. Суммы субсидий, определяемые согласно расчетной формуле, перечисляются Министерством финансов Кыргызской Республики из средств республиканского бюджета Кыргызской Республики банкам пятью траншами, в том числе:</w:t>
      </w:r>
    </w:p>
    <w:p>
      <w:pPr>
        <w:spacing w:after="60"/>
        <w:ind w:firstLine="567"/>
        <w:jc w:val="both"/>
      </w:pPr>
      <w:r>
        <w:rPr>
          <w:rFonts w:ascii="Arial" w:cs="Arial" w:eastAsia="Arial" w:hAnsi="Arial"/>
          <w:sz w:val="24"/>
          <w:szCs w:val="24"/>
        </w:rPr>
        <w:t xml:space="preserve">1) первый транш - в конце каждого года на сумму фактически выданных банками кредитных средств за прошедший год;</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25. Банки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банки обязаны представлять заявки за минусом досрочно погашенных кредитов. В случае если после получения очередного транша имеются досрочно погашенные кредиты, субсидии по которым были получены, банку необходимо произвести возврат субсидии по таким кредитам в Министерство финансов Кыргызской Республики.</w:t>
      </w:r>
    </w:p>
    <w:p>
      <w:pPr>
        <w:spacing w:after="200" w:before="200"/>
        <w:jc w:val="center"/>
      </w:pPr>
      <w:r>
        <w:rPr>
          <w:rFonts w:ascii="Arial" w:cs="Arial" w:eastAsia="Arial" w:hAnsi="Arial"/>
          <w:b/>
          <w:bCs/>
          <w:sz w:val="32"/>
          <w:szCs w:val="32"/>
        </w:rPr>
        <w:t xml:space="preserve">Глава 5. Риски и угрозы</w:t>
      </w:r>
    </w:p>
    <w:p>
      <w:pPr>
        <w:spacing w:after="60"/>
        <w:ind w:firstLine="567"/>
        <w:jc w:val="both"/>
      </w:pPr>
      <w:r>
        <w:rPr>
          <w:rFonts w:ascii="Arial" w:cs="Arial" w:eastAsia="Arial" w:hAnsi="Arial"/>
          <w:sz w:val="24"/>
          <w:szCs w:val="24"/>
        </w:rPr>
        <w:t xml:space="preserve">26.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27. Минимизация указанного риска осуществляется банками в установленном порядке.</w:t>
      </w:r>
    </w:p>
    <w:p>
      <w:pPr>
        <w:spacing w:after="60"/>
        <w:ind w:firstLine="567"/>
        <w:jc w:val="both"/>
      </w:pPr>
      <w:r>
        <w:rPr>
          <w:rFonts w:ascii="Arial" w:cs="Arial" w:eastAsia="Arial" w:hAnsi="Arial"/>
          <w:sz w:val="24"/>
          <w:szCs w:val="24"/>
        </w:rPr>
        <w:t xml:space="preserve">28. При обнаружении факта нецелевого использования кредитных средств банки должны составить соответствующий акт и потребовать от заемщика досрочного погашения остатка кредитных средств в течение 30 календарных дней или установить процентные ставки в размере 25 процентов годовых со дня получения кредита. В этом случае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29. При обнаружении факта нецелевого использования кредитных средств заемщиками на арендованном земельном участке земельный участок возвращается арендодателю в соответствии с </w:t>
      </w:r>
      <w:hyperlink w:history="1" r:id="rIdlmnffdtbcnxf4fwu0jnd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tedgg_csfdsu5ctetty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30. В целях минимизации риска необоснованного получения субсидий банками:</w:t>
      </w:r>
    </w:p>
    <w:p>
      <w:pPr>
        <w:spacing w:after="60"/>
        <w:ind w:firstLine="567"/>
        <w:jc w:val="both"/>
      </w:pPr>
      <w:r>
        <w:rPr>
          <w:rFonts w:ascii="Arial" w:cs="Arial" w:eastAsia="Arial" w:hAnsi="Arial"/>
          <w:sz w:val="24"/>
          <w:szCs w:val="24"/>
        </w:rPr>
        <w:t xml:space="preserve">1) банки еженедельно предоставляют Министерству финансов Кыргызской Республики информацию о выданных кредитах;</w:t>
      </w:r>
    </w:p>
    <w:p>
      <w:pPr>
        <w:spacing w:after="60"/>
        <w:ind w:firstLine="567"/>
        <w:jc w:val="both"/>
      </w:pPr>
      <w:r>
        <w:rPr>
          <w:rFonts w:ascii="Arial" w:cs="Arial" w:eastAsia="Arial" w:hAnsi="Arial"/>
          <w:sz w:val="24"/>
          <w:szCs w:val="24"/>
        </w:rPr>
        <w:t xml:space="preserve">2) при обнаружении факта нецелевого использования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с восстановлением ранее перечисленных траншей субсидий по таким кредитам.</w:t>
      </w:r>
    </w:p>
    <w:p>
      <w:pPr>
        <w:spacing w:after="60"/>
        <w:ind w:firstLine="567"/>
        <w:jc w:val="both"/>
      </w:pPr>
      <w:r>
        <w:rPr>
          <w:rFonts w:ascii="Arial" w:cs="Arial" w:eastAsia="Arial" w:hAnsi="Arial"/>
          <w:sz w:val="24"/>
          <w:szCs w:val="24"/>
        </w:rPr>
        <w:t xml:space="preserve">31. В целях минимизации риска по субсидированию досрочно погашенных кредитов из республиканского бюджета, в случае досрочного погашения кредитов заемщиками, Министерство финансов Кыргызской Республики предусматривает в соглашениях о сотрудничестве с банками механизм расчета, корректировки и возврата части полученных субсидий из республиканского бюджета по досрочно погашенным кредитам.</w:t>
      </w:r>
    </w:p>
    <w:p>
      <w:pPr>
        <w:spacing w:after="60"/>
        <w:ind w:firstLine="567"/>
        <w:jc w:val="both"/>
      </w:pPr>
      <w:r>
        <w:rPr>
          <w:rFonts w:ascii="Arial" w:cs="Arial" w:eastAsia="Arial" w:hAnsi="Arial"/>
          <w:sz w:val="24"/>
          <w:szCs w:val="24"/>
        </w:rPr>
        <w:t xml:space="preserve">32. Риск неполного исполнения обязательств со стороны Кабинета Министров Кыргызской Республики:</w:t>
      </w:r>
    </w:p>
    <w:p>
      <w:pPr>
        <w:spacing w:after="6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года перечисляет суммы первого транша субсидий из республиканского бюджета на расчетные счета банков согласно порядку перечисления субсидий;</w:t>
      </w:r>
    </w:p>
    <w:p>
      <w:pPr>
        <w:spacing w:after="6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60"/>
        <w:ind w:firstLine="567"/>
        <w:jc w:val="both"/>
      </w:pPr>
      <w:r>
        <w:rPr>
          <w:rFonts w:ascii="Arial" w:cs="Arial" w:eastAsia="Arial" w:hAnsi="Arial"/>
          <w:sz w:val="24"/>
          <w:szCs w:val="24"/>
        </w:rPr>
        <w:t xml:space="preserve">33. Риск неполной выборки кредитных средств. Для максимального вовлечения в Проект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200" w:before="200"/>
        <w:jc w:val="center"/>
      </w:pPr>
      <w:r>
        <w:rPr>
          <w:rFonts w:ascii="Arial" w:cs="Arial" w:eastAsia="Arial" w:hAnsi="Arial"/>
          <w:b/>
          <w:bCs/>
          <w:sz w:val="32"/>
          <w:szCs w:val="32"/>
        </w:rPr>
        <w:t xml:space="preserve">Глава 6.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34. Мониторинг целевого использования кредитных средств будет осуществляться банками следующим образом:</w:t>
      </w:r>
    </w:p>
    <w:p>
      <w:pPr>
        <w:spacing w:after="60"/>
        <w:ind w:firstLine="567"/>
        <w:jc w:val="both"/>
      </w:pPr>
      <w:r>
        <w:rPr>
          <w:rFonts w:ascii="Arial" w:cs="Arial" w:eastAsia="Arial" w:hAnsi="Arial"/>
          <w:sz w:val="24"/>
          <w:szCs w:val="24"/>
        </w:rPr>
        <w:t xml:space="preserve">- в течение 18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или накладные, платежные документы об оплате, и другие) произведенных расходов по кредиту.</w:t>
      </w:r>
    </w:p>
    <w:p>
      <w:pPr>
        <w:spacing w:after="60"/>
        <w:ind w:firstLine="567"/>
        <w:jc w:val="both"/>
      </w:pPr>
      <w:r>
        <w:rPr>
          <w:rFonts w:ascii="Arial" w:cs="Arial" w:eastAsia="Arial" w:hAnsi="Arial"/>
          <w:sz w:val="24"/>
          <w:szCs w:val="24"/>
        </w:rPr>
        <w:t xml:space="preserve">Документами, подтверждающими факт целевого использования кредита, являются:</w:t>
      </w:r>
    </w:p>
    <w:p>
      <w:pPr>
        <w:spacing w:after="60"/>
        <w:ind w:firstLine="567"/>
        <w:jc w:val="both"/>
      </w:pPr>
      <w:r>
        <w:rPr>
          <w:rFonts w:ascii="Arial" w:cs="Arial" w:eastAsia="Arial" w:hAnsi="Arial"/>
          <w:sz w:val="24"/>
          <w:szCs w:val="24"/>
        </w:rPr>
        <w:t xml:space="preserve">1) копии документов, подтверждающих факт оплаты материалов, необходимых для строительства (строительно-монтажных работ);</w:t>
      </w:r>
    </w:p>
    <w:p>
      <w:pPr>
        <w:spacing w:after="60"/>
        <w:ind w:firstLine="567"/>
        <w:jc w:val="both"/>
      </w:pPr>
      <w:r>
        <w:rPr>
          <w:rFonts w:ascii="Arial" w:cs="Arial" w:eastAsia="Arial" w:hAnsi="Arial"/>
          <w:sz w:val="24"/>
          <w:szCs w:val="24"/>
        </w:rPr>
        <w:t xml:space="preserve">2) копии документов, подтверждающих факт оплаты за приобретенные материалы, а также услуги (должны быть представлены вместе с отчетом об использовании средств);</w:t>
      </w:r>
    </w:p>
    <w:p>
      <w:pPr>
        <w:spacing w:after="60"/>
        <w:ind w:firstLine="567"/>
        <w:jc w:val="both"/>
      </w:pPr>
      <w:r>
        <w:rPr>
          <w:rFonts w:ascii="Arial" w:cs="Arial" w:eastAsia="Arial" w:hAnsi="Arial"/>
          <w:sz w:val="24"/>
          <w:szCs w:val="24"/>
        </w:rPr>
        <w:t xml:space="preserve">3) и другие документы, подтверждающие целевое использование кредитов.</w:t>
      </w:r>
    </w:p>
    <w:p>
      <w:pPr>
        <w:spacing w:after="60"/>
        <w:ind w:firstLine="567"/>
        <w:jc w:val="both"/>
      </w:pPr>
      <w:r>
        <w:rPr>
          <w:rFonts w:ascii="Arial" w:cs="Arial" w:eastAsia="Arial" w:hAnsi="Arial"/>
          <w:sz w:val="24"/>
          <w:szCs w:val="24"/>
        </w:rPr>
        <w:t xml:space="preserve">35. В целях проведения оценки эффективности использования кредитных средств (до и после выдачи кредита) банки совместно с Министерством образования и науки Кыргызской Республики, комиссионно с выездом на место, будут осуществлять мониторинг целевого использования заемщиками кредита по следующим основным показателям:</w:t>
      </w:r>
    </w:p>
    <w:p>
      <w:pPr>
        <w:spacing w:after="60"/>
        <w:ind w:firstLine="567"/>
        <w:jc w:val="both"/>
      </w:pPr>
      <w:r>
        <w:rPr>
          <w:rFonts w:ascii="Arial" w:cs="Arial" w:eastAsia="Arial" w:hAnsi="Arial"/>
          <w:sz w:val="24"/>
          <w:szCs w:val="24"/>
        </w:rPr>
        <w:t xml:space="preserve">- процент завершенности строительства/реконструкции или капитального ремонта (при строительстве, реконструкции/капитальном ремонте);</w:t>
      </w:r>
    </w:p>
    <w:p>
      <w:pPr>
        <w:spacing w:after="60"/>
        <w:ind w:firstLine="567"/>
        <w:jc w:val="both"/>
      </w:pPr>
      <w:r>
        <w:rPr>
          <w:rFonts w:ascii="Arial" w:cs="Arial" w:eastAsia="Arial" w:hAnsi="Arial"/>
          <w:sz w:val="24"/>
          <w:szCs w:val="24"/>
        </w:rPr>
        <w:t xml:space="preserve">- обновлены или приобретены основные средства (при приобретении или обновлении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Министерством образования и науки Кыргызской Республики в двухнедельный срок оформляется отчет.</w:t>
      </w:r>
    </w:p>
    <w:p>
      <w:pPr>
        <w:spacing w:after="60"/>
        <w:ind w:firstLine="567"/>
        <w:jc w:val="both"/>
      </w:pPr>
      <w:r>
        <w:rPr>
          <w:rFonts w:ascii="Arial" w:cs="Arial" w:eastAsia="Arial" w:hAnsi="Arial"/>
          <w:sz w:val="24"/>
          <w:szCs w:val="24"/>
        </w:rPr>
        <w:t xml:space="preserve">36. При необходимости заемщиком за счет получаемых кредитных средств осуществляется авторский и технический надзор за ходом строительства или реконструкции.</w:t>
      </w:r>
    </w:p>
    <w:p>
      <w:pPr>
        <w:spacing w:after="200" w:before="200"/>
        <w:jc w:val="center"/>
      </w:pPr>
      <w:r>
        <w:rPr>
          <w:rFonts w:ascii="Arial" w:cs="Arial" w:eastAsia="Arial" w:hAnsi="Arial"/>
          <w:b/>
          <w:bCs/>
          <w:sz w:val="32"/>
          <w:szCs w:val="32"/>
        </w:rPr>
        <w:t xml:space="preserve">Глава 7. Оценка эффективности Проекта</w:t>
      </w:r>
    </w:p>
    <w:p>
      <w:pPr>
        <w:spacing w:after="60"/>
        <w:ind w:firstLine="567"/>
        <w:jc w:val="both"/>
      </w:pPr>
      <w:r>
        <w:rPr>
          <w:rFonts w:ascii="Arial" w:cs="Arial" w:eastAsia="Arial" w:hAnsi="Arial"/>
          <w:sz w:val="24"/>
          <w:szCs w:val="24"/>
        </w:rPr>
        <w:t xml:space="preserve">37. Заемщики обязаны:</w:t>
      </w:r>
    </w:p>
    <w:p>
      <w:pPr>
        <w:spacing w:after="60"/>
        <w:ind w:firstLine="567"/>
        <w:jc w:val="both"/>
      </w:pPr>
      <w:r>
        <w:rPr>
          <w:rFonts w:ascii="Arial" w:cs="Arial" w:eastAsia="Arial" w:hAnsi="Arial"/>
          <w:sz w:val="24"/>
          <w:szCs w:val="24"/>
        </w:rPr>
        <w:t xml:space="preserve">- после ввода в эксплуатацию здания дошкольной образовательной организации каждый год до дня погашения кредита предоставлять отчет в Министерство образования и науки Кыргызской Республики (целевое использование здания, окупаемость и т.д.);</w:t>
      </w:r>
    </w:p>
    <w:p>
      <w:pPr>
        <w:spacing w:after="60"/>
        <w:ind w:firstLine="567"/>
        <w:jc w:val="both"/>
      </w:pPr>
      <w:r>
        <w:rPr>
          <w:rFonts w:ascii="Arial" w:cs="Arial" w:eastAsia="Arial" w:hAnsi="Arial"/>
          <w:sz w:val="24"/>
          <w:szCs w:val="24"/>
        </w:rPr>
        <w:t xml:space="preserve">- использовать построенное, отремонтированное/реконструированное здание по целевому назначению после ввода в эксплуатацию сроком не менее 20 лет (заключается соглашение с Министерством образования и науки Кыргызской Республики).</w:t>
      </w:r>
    </w:p>
    <w:p>
      <w:pPr>
        <w:spacing w:after="60"/>
        <w:ind w:firstLine="567"/>
        <w:jc w:val="both"/>
      </w:pPr>
      <w:r>
        <w:rPr>
          <w:rFonts w:ascii="Arial" w:cs="Arial" w:eastAsia="Arial" w:hAnsi="Arial"/>
          <w:sz w:val="24"/>
          <w:szCs w:val="24"/>
        </w:rPr>
        <w:t xml:space="preserve">38. В целях оценки эффективности Проекта Министерством образования и науки Кыргызской Республики на ежегодной основе, комиссионно с выездом на место, осуществляется мониторинг по следующим основным показателям:</w:t>
      </w:r>
    </w:p>
    <w:p>
      <w:pPr>
        <w:spacing w:after="60"/>
        <w:ind w:firstLine="567"/>
        <w:jc w:val="both"/>
      </w:pPr>
      <w:r>
        <w:rPr>
          <w:rFonts w:ascii="Arial" w:cs="Arial" w:eastAsia="Arial" w:hAnsi="Arial"/>
          <w:sz w:val="24"/>
          <w:szCs w:val="24"/>
        </w:rPr>
        <w:t xml:space="preserve">1) количество построенных зданий дошкольных образовательных организаций в результате реализации Проекта и их проектная мощность;</w:t>
      </w:r>
    </w:p>
    <w:p>
      <w:pPr>
        <w:spacing w:after="60"/>
        <w:ind w:firstLine="567"/>
        <w:jc w:val="both"/>
      </w:pPr>
      <w:r>
        <w:rPr>
          <w:rFonts w:ascii="Arial" w:cs="Arial" w:eastAsia="Arial" w:hAnsi="Arial"/>
          <w:sz w:val="24"/>
          <w:szCs w:val="24"/>
        </w:rPr>
        <w:t xml:space="preserve">2) количество реанимированных зданий дошкольных образовательных организаций и их проектная мощность;</w:t>
      </w:r>
    </w:p>
    <w:p>
      <w:pPr>
        <w:spacing w:after="60"/>
        <w:ind w:firstLine="567"/>
        <w:jc w:val="both"/>
      </w:pPr>
      <w:r>
        <w:rPr>
          <w:rFonts w:ascii="Arial" w:cs="Arial" w:eastAsia="Arial" w:hAnsi="Arial"/>
          <w:sz w:val="24"/>
          <w:szCs w:val="24"/>
        </w:rPr>
        <w:t xml:space="preserve">3)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4) количество и качество приобретенных учебно-дидактических материалов;</w:t>
      </w:r>
    </w:p>
    <w:p>
      <w:pPr>
        <w:spacing w:after="60"/>
        <w:ind w:firstLine="567"/>
        <w:jc w:val="both"/>
      </w:pPr>
      <w:r>
        <w:rPr>
          <w:rFonts w:ascii="Arial" w:cs="Arial" w:eastAsia="Arial" w:hAnsi="Arial"/>
          <w:sz w:val="24"/>
          <w:szCs w:val="24"/>
        </w:rPr>
        <w:t xml:space="preserve">5) количество и вид приобретенных, обновленных основных средств.</w:t>
      </w:r>
    </w:p>
    <w:p>
      <w:pPr>
        <w:spacing w:after="60"/>
        <w:ind w:firstLine="567"/>
        <w:jc w:val="both"/>
      </w:pPr>
      <w:r>
        <w:rPr>
          <w:rFonts w:ascii="Arial" w:cs="Arial" w:eastAsia="Arial" w:hAnsi="Arial"/>
          <w:sz w:val="24"/>
          <w:szCs w:val="24"/>
        </w:rPr>
        <w:t xml:space="preserve">По результатам мониторинга Министерство образования и науки Кыргызской Республики оформляет отчет и не позднее 1 декабря представляет в Администрацию Президента Кыргызской Республики.".</w:t>
      </w:r>
    </w:p>
    <w:p>
      <w:pPr>
        <w:spacing w:after="400" w:before="4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СПИСОК
 выделенных участков в регионах Кыргызской Республики для строительства дошкольных образовательных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2196"/>
        <w:gridCol w:w="1099"/>
        <w:gridCol w:w="2190"/>
        <w:gridCol w:w="1726"/>
        <w:gridCol w:w="2569"/>
      </w:tblGrid>
      <w:tr>
        <w:tc>
          <w:tcPr>
            <w:tcW w:type="dxa" w:w="3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земли</w:t>
            </w:r>
          </w:p>
        </w:tc>
        <w:tc>
          <w:tcPr>
            <w:tcW w:type="dxa" w:w="2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 для строительства</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w:t>
            </w:r>
          </w:p>
        </w:tc>
        <w:tc>
          <w:tcPr>
            <w:tcW w:type="dxa" w:w="2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 Бишкек</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Кок-Жар, ул.Чар</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Специализированный 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Южная планировочная зона, северная сторона Южного Большого Чуйского канала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Арча-Бешик, пересечение ул. Эр-Тайлака и Айылчиева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Кара-Жыгач, пересечение ул. Кара-Жыгач и Исакеева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постановлением мэрии города Бишкек от 16 мая 2023 года № 91-т планируется работа в рамках проекта государственно-частного партнерства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Арча-Бешик, пересечение ул. Садыбакасова и Кызыл-Адыр</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постановлением мэрии города Бишкек от 16 мая 2023 года № 91-т планируется работа в рамках проекта государственно-частного партнерства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Ак-Орго, ул.Ашар</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постановлением мэрии города Бишкек от 16 мая 2023 года № 91-т планируется работа в рамках проекта государственно-частного партнерства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Арча-Бешик, пересечение ул. Ак-Тан и Ак-Марал</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Ала-Тоо, ул.Айбийке</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0,536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Ак-Ордо, пересечение ул. Ак-Болпон и Каркыра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Ак-Орго, пересечение ул. Ак-Шоокум, Жолон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95-105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Ак-Орго, пересечение ул. Кыбыла и Найман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Мурас-Ордо</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проходит государственную экспертизу</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Бугу-Эне-Багыш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Бугу-Эне-Багыш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Ак-Тилек, ул.Ак-Шоокум</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Готовится техническое задание для проектирования</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 Учкун, пересечение проспекта Чуй и ул.Аксы</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Начаты работы по проектированию</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Ала-Бука, с.Ала-Бука, участки Колмо, Алма-Бак, Акурча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детских сада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Ак-Коргон, с.Ак-Коргон, Сафед-Булан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детских сада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 а/о Акман, с.Жараке</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 а/о Акман, с.Таш-Булак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Тогуз-Тороуский район, а/о Атай, с.Атай</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Токтогул, ул.Шамшыкал</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Кара-Куль</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находится в муниципальной собственности</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Балыкчы, ул.Кулакунов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 с.Теплоключенка (новостройка)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 с.Теплоключенка (пост ГАИ)</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 с.Кызыл-Суу, территория ДОО "Арча", ул.Чикаева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 (дополнительный корпус)</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 город Чолпон-Ата, мкр-н "Ливада"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 город Чолпон-Ата, 2-й мкр-н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 район, с.Боконбаево, ж/м Кара-Ой</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p>
            <w:pPr>
              <w:jc w:val="center"/>
            </w:pPr>
            <w:r>
              <w:rPr>
                <w:rFonts w:ascii="Arial" w:cs="Arial" w:eastAsia="Arial" w:hAnsi="Arial"/>
                <w:sz w:val="24"/>
                <w:szCs w:val="24"/>
              </w:rPr>
              <w:t xml:space="preserve">Школа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p>
            <w:pPr>
              <w:jc w:val="center"/>
            </w:pPr>
            <w:r>
              <w:rPr>
                <w:rFonts w:ascii="Arial" w:cs="Arial" w:eastAsia="Arial" w:hAnsi="Arial"/>
                <w:sz w:val="24"/>
                <w:szCs w:val="24"/>
              </w:rPr>
              <w:t xml:space="preserve">700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 с.Тюп, ул.Элебесова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 с.Тюп, ул.Кирпичная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район, с.Чуй, новостройка "Жаны-Конуш"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Кант</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с.Романовка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 м</w:t>
            </w:r>
            <w:r>
              <w:rPr>
                <w:rFonts w:ascii="Arial" w:cs="Arial" w:eastAsia="Arial" w:hAnsi="Arial"/>
                <w:sz w:val="24"/>
                <w:szCs w:val="24"/>
              </w:rPr>
              <w:t xml:space="preserve">2</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есть государственный акт</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с.Арал</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5956,0 м</w:t>
            </w:r>
            <w:r>
              <w:rPr>
                <w:rFonts w:ascii="Arial" w:cs="Arial" w:eastAsia="Arial" w:hAnsi="Arial"/>
                <w:sz w:val="24"/>
                <w:szCs w:val="24"/>
              </w:rPr>
              <w:t xml:space="preserve">2</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есть государственный акт</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с.Сокулук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на балансе айыл окмоту, трансформирована, есть государственный акт</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с.Кашка-Баш</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на балансе айыл окмоту,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город Шопоков</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 а/о Курама, с. им.И.В.Панфилова, ул.Центральная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Токмок, ул.Дружбы, 50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 а/о Александровка, с.Александровка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 а/о Ак-Суу, с.Темен-Суу, ул.Ленина, 10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 га (0,80 соток)</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 с.Беловодское, ул.Шевченко, 28</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 соток</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мест</w:t>
            </w:r>
          </w:p>
          <w:p>
            <w:pPr>
              <w:jc w:val="center"/>
            </w:pPr>
            <w:r>
              <w:rPr>
                <w:rFonts w:ascii="Arial" w:cs="Arial" w:eastAsia="Arial" w:hAnsi="Arial"/>
                <w:sz w:val="24"/>
                <w:szCs w:val="24"/>
              </w:rPr>
              <w:t xml:space="preserve">Дополнительный корпус</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 Ош</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 ул.А.Саралаева, контур Толойкан, 100</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4,272 га (из них 0,785 сервитут)</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Школа, детский сад, больница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не трансформирована, земельный участок сельскохозяйственного назначения</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 ул.Маматеминова, 54 (управление айылного аймака Жапалак)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 ФАП</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участок находится на главном муниципальном балансе мэрии города Ош</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 с.Баетова, ул.С.Аркабаева, б/н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расположен на территории села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 с.Баетова, ул.А.Асаналиева, б/н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 (дополнительный корпус)</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расположен на территории села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 район, с.Ат-Башы, новостройка "Улан"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Школа, 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объектов предусмотрено в генеральном плане строительства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 район, с.Байзак, ул.К.Акиева, 98</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имеется готовый проект для строительства детского сада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 район, с.Кочкорка, участок "Стадион"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район, а/о Мин-Булак, с.Мин-Булак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Строительство социального городка (школа, детский сад, ФАП, мечеть)</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местная школа, 50 местный детский сад</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1-й мкр-н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ж/м Пулон-2</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2-й мкр-н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участок Могол-Тажикент</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 район, город Раззаков, участок Орто-Дон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Баткен, квартал Базар-Башы</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Баткен, квартал Чет-Булак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Баткен, участок Тамаша-Жай</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Кызыл-Кия, участок Кунгой-2</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трансформации подходят к концу</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 город Айдаркен</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Кадамжай, участок Кара-Жантак</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детских сада</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мест 150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в генеральном плане строительства</w:t>
            </w:r>
          </w:p>
        </w:tc>
      </w:tr>
      <w:tr>
        <w:tc>
          <w:tcPr>
            <w:tcW w:type="dxa" w:w="3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Кадамжай, ул.Набережная</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 га</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ФАП, 1 детский сад</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мест</w:t>
            </w:r>
          </w:p>
        </w:tc>
        <w:tc>
          <w:tcPr>
            <w:tcW w:type="dxa" w:w="2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трансформирована, подготовлен государственный акт</w:t>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o4uyqn68yrog3xxpeqp">
      <w:r>
        <w:rPr>
          <w:rFonts w:ascii="Arial" w:cs="Arial" w:eastAsia="Arial" w:hAnsi="Arial"/>
          <w:color w:val="132D3F"/>
          <w:sz w:val="16"/>
          <w:szCs w:val="16"/>
          <w:u w:val="single"/>
        </w:rPr>
        <w:t xml:space="preserve">dalil.kg/document/160380</w:t>
      </w:r>
    </w:hyperlink>
  </w:p>
  <w:p>
    <w:pPr>
      <w:spacing w:after="0" w:before="40"/>
      <w:jc w:val="center"/>
    </w:pPr>
    <w:hyperlink w:history="1" r:id="rIdgwl6y7tw0rj2n_l6s4q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0sml87g-cdm2igk3xoz" Type="http://schemas.openxmlformats.org/officeDocument/2006/relationships/hyperlink" Target="https://dalil.kg/document/230005673" TargetMode="External"/><Relationship Id="rIdglfensmp5vib0qnq1afkg" Type="http://schemas.openxmlformats.org/officeDocument/2006/relationships/hyperlink" Target="https://dalil.kg/document/111338#st_115" TargetMode="External"/><Relationship Id="rIdlqpxco6in2uk1zfed3tzp" Type="http://schemas.openxmlformats.org/officeDocument/2006/relationships/hyperlink" Target="https://dalil.kg/document/112301#st_13" TargetMode="External"/><Relationship Id="rIdbdlpyq11t_45qcwwrizus" Type="http://schemas.openxmlformats.org/officeDocument/2006/relationships/hyperlink" Target="https://dalil.kg/document/112301#st_17" TargetMode="External"/><Relationship Id="rIdmpcexmt4y0jhin2huvglj" Type="http://schemas.openxmlformats.org/officeDocument/2006/relationships/hyperlink" Target="https://dalil.kg/document/160380#pr1" TargetMode="External"/><Relationship Id="rIdz7-9lctaacvfiruxf2xnp" Type="http://schemas.openxmlformats.org/officeDocument/2006/relationships/hyperlink" Target="https://dalil.kg/document/160380#pr2" TargetMode="External"/><Relationship Id="rIdemkks_kemnd0ielur7hvp" Type="http://schemas.openxmlformats.org/officeDocument/2006/relationships/hyperlink" Target="https://dalil.kg/document/230005673" TargetMode="External"/><Relationship Id="rIdiioj2hrbrbkcakdjc1kwa" Type="http://schemas.openxmlformats.org/officeDocument/2006/relationships/hyperlink" Target="https://dalil.kg/document/230005673" TargetMode="External"/><Relationship Id="rId2vegjyq8dfku7iqko9egk" Type="http://schemas.openxmlformats.org/officeDocument/2006/relationships/hyperlink" Target="https://dalil.kg/document/94290" TargetMode="External"/><Relationship Id="rIde4t_9jn5fgoivy-p_uid3" Type="http://schemas.openxmlformats.org/officeDocument/2006/relationships/hyperlink" Target="https://dalil.kg/document/94292" TargetMode="External"/><Relationship Id="rIdulw1ipppn6nnjplh11yv9" Type="http://schemas.openxmlformats.org/officeDocument/2006/relationships/hyperlink" Target="https://dalil.kg/document/94290" TargetMode="External"/><Relationship Id="rIdpoowgxtl4awy7citfp78t" Type="http://schemas.openxmlformats.org/officeDocument/2006/relationships/hyperlink" Target="https://dalil.kg/document/157146" TargetMode="External"/><Relationship Id="rIdtzkrvdodunwv_6tcvoqgu" Type="http://schemas.openxmlformats.org/officeDocument/2006/relationships/hyperlink" Target="https://dalil.kg/document/157147" TargetMode="External"/><Relationship Id="rIdbvs19li-rtobcyj1lilan" Type="http://schemas.openxmlformats.org/officeDocument/2006/relationships/hyperlink" Target="https://dalil.kg/document/157147" TargetMode="External"/><Relationship Id="rIdpfc-pp_3gii340gzzaqhx" Type="http://schemas.openxmlformats.org/officeDocument/2006/relationships/hyperlink" Target="https://dalil.kg/document/157146" TargetMode="External"/><Relationship Id="rIdekit6ttbu22acvfnd5bi9" Type="http://schemas.openxmlformats.org/officeDocument/2006/relationships/hyperlink" Target="https://dalil.kg/document/230005673" TargetMode="External"/><Relationship Id="rIdlmnffdtbcnxf4fwu0jnde" Type="http://schemas.openxmlformats.org/officeDocument/2006/relationships/hyperlink" Target="https://dalil.kg/document/157146" TargetMode="External"/><Relationship Id="rIdltedgg_csfdsu5ctettyu" Type="http://schemas.openxmlformats.org/officeDocument/2006/relationships/hyperlink" Target="https://dalil.kg/document/157147"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o4uyqn68yrog3xxpeqp" Type="http://schemas.openxmlformats.org/officeDocument/2006/relationships/hyperlink" Target="https://dalil.kg/document/160380" TargetMode="External"/><Relationship Id="rIdgwl6y7tw0rj2n_l6s4q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2026-09-24T10:15:33.209Z</dcterms:created>
  <dcterms:modified xsi:type="dcterms:W3CDTF">2026-09-24T10:15:33.209Z</dcterms:modified>
</cp:coreProperties>
</file>

<file path=docProps/custom.xml><?xml version="1.0" encoding="utf-8"?>
<Properties xmlns="http://schemas.openxmlformats.org/officeDocument/2006/custom-properties" xmlns:vt="http://schemas.openxmlformats.org/officeDocument/2006/docPropsVTypes"/>
</file>