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13 сентября 2023 года № 470</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и Кабинета Министров Кыргызской Республики в сфере налогообложения</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dg4eu-jdniubrjqpvys4v">
        <w:r>
          <w:rPr>
            <w:rFonts w:ascii="Arial" w:cs="Arial" w:eastAsia="Arial" w:hAnsi="Arial"/>
            <w:i/>
            <w:iCs/>
            <w:color w:val="1D4ED8"/>
            <w:sz w:val="24"/>
            <w:szCs w:val="24"/>
            <w:u w:val="single"/>
          </w:rPr>
          <w:t xml:space="preserve">28 августа 2025 года № 533</w:t>
        </w:r>
      </w:hyperlink>
      <w:r>
        <w:rPr>
          <w:rFonts w:ascii="Arial" w:cs="Arial" w:eastAsia="Arial" w:hAnsi="Arial"/>
          <w:b/>
          <w:bCs/>
          <w:sz w:val="28"/>
          <w:szCs w:val="28"/>
        </w:rPr>
        <w:t xml:space="preserve">, </w:t>
      </w:r>
      <w:hyperlink w:history="1" r:id="rIdt00brqeobk11ltclsueqq">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w:t>
      </w:r>
      <w:hyperlink w:history="1" r:id="rIdeexkpvwacq1l9kwxv9xb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сфере налогообложения" от 3 апреля 2023 года № 78, статьями </w:t>
      </w:r>
      <w:hyperlink w:history="1" r:id="rIdfcnqqziax-yhhbtnd5g_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8abvtznsqhu-7df3p3gn">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l0-e01qqbnpyvlwtdxy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типовой унифицированной формы первичного учетного документа "Закупочный акт" от 31 июля 2019 года № 386 следующее изменение:</w:t>
      </w:r>
    </w:p>
    <w:p>
      <w:pPr>
        <w:spacing w:after="60"/>
        <w:ind w:firstLine="567"/>
        <w:jc w:val="both"/>
      </w:pPr>
      <w:r>
        <w:rPr>
          <w:rFonts w:ascii="Arial" w:cs="Arial" w:eastAsia="Arial" w:hAnsi="Arial"/>
          <w:sz w:val="24"/>
          <w:szCs w:val="24"/>
        </w:rPr>
        <w:t xml:space="preserve">в преамбуле слова "</w:t>
      </w:r>
      <w:hyperlink w:history="1" r:id="rIdovj5ckwxclba_kccyebwd">
        <w:r>
          <w:rPr>
            <w:rFonts w:ascii="Arial" w:cs="Arial" w:eastAsia="Arial" w:hAnsi="Arial"/>
            <w:color w:val="1D4ED8"/>
            <w:sz w:val="24"/>
            <w:szCs w:val="24"/>
            <w:u w:val="single"/>
          </w:rPr>
          <w:t xml:space="preserve">статьи 156</w:t>
        </w:r>
      </w:hyperlink>
      <w:r>
        <w:rPr>
          <w:rFonts w:ascii="Arial" w:cs="Arial" w:eastAsia="Arial" w:hAnsi="Arial"/>
          <w:sz w:val="24"/>
          <w:szCs w:val="24"/>
        </w:rPr>
        <w:t xml:space="preserve"> Налогового кодекса Кыргызской Республики и" исключить.</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orpwmennarek-o1bpqc0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сентября 2025 года № 592)</w:t>
      </w:r>
    </w:p>
    <w:p>
      <w:pPr>
        <w:spacing w:after="60"/>
        <w:ind w:firstLine="567"/>
        <w:jc w:val="both"/>
      </w:pPr>
      <w:r>
        <w:rPr>
          <w:rFonts w:ascii="Arial" w:cs="Arial" w:eastAsia="Arial" w:hAnsi="Arial"/>
          <w:sz w:val="24"/>
          <w:szCs w:val="24"/>
        </w:rPr>
        <w:t xml:space="preserve">3. Внести в </w:t>
      </w:r>
      <w:hyperlink w:history="1" r:id="rIdj07cj7r9ih4y4525ersl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проведении пилотного (экспериментального) проекта по цифровому администрированию акцизного налога" от 31 декабря 2021 года № 359 следующие изменения:</w:t>
      </w:r>
    </w:p>
    <w:p>
      <w:pPr>
        <w:spacing w:after="60"/>
        <w:ind w:firstLine="567"/>
        <w:jc w:val="both"/>
      </w:pPr>
      <w:r>
        <w:rPr>
          <w:rFonts w:ascii="Arial" w:cs="Arial" w:eastAsia="Arial" w:hAnsi="Arial"/>
          <w:sz w:val="24"/>
          <w:szCs w:val="24"/>
        </w:rPr>
        <w:t xml:space="preserve">- в пункте 1 слова "30 июня" заменить словами "31 декабря".</w:t>
      </w:r>
    </w:p>
    <w:p>
      <w:pPr>
        <w:spacing w:after="60"/>
        <w:ind w:firstLine="567"/>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"Об утверждении базовой суммы налога на основе патента по видам деятельности" от 18 февраля 2022 года № 84 следующее изменение:</w:t>
      </w:r>
    </w:p>
    <w:p>
      <w:pPr>
        <w:spacing w:after="60"/>
        <w:ind w:firstLine="567"/>
        <w:jc w:val="both"/>
      </w:pPr>
      <w:r>
        <w:rPr>
          <w:rFonts w:ascii="Arial" w:cs="Arial" w:eastAsia="Arial" w:hAnsi="Arial"/>
          <w:sz w:val="24"/>
          <w:szCs w:val="24"/>
        </w:rPr>
        <w:t xml:space="preserve">- </w:t>
      </w:r>
      <w:hyperlink w:history="1" r:id="rIdkj7dajhrl6wu3ielhdcz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дополнить пунктом 35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6650"/>
        <w:gridCol w:w="1437"/>
        <w:gridCol w:w="1437"/>
      </w:tblGrid>
      <w:tr>
        <w:tc>
          <w:tcPr>
            <w:tcW w:type="dxa" w:w="6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6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ломбарда</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64.92</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hyperlink w:history="1" r:id="rIdqj4emnjbx2mpyv6-3aa-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вышеуказанному постановлению пункт 8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1"/>
        <w:gridCol w:w="6624"/>
        <w:gridCol w:w="1451"/>
        <w:gridCol w:w="1451"/>
      </w:tblGrid>
      <w:tr>
        <w:tc>
          <w:tcPr>
            <w:tcW w:type="dxa" w:w="6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строительные работы, в том числе ремонтные работы, за исключением выполнения работ для организаций и индивидуальных предпринимателей</w:t>
            </w:r>
          </w:p>
        </w:tc>
        <w:tc>
          <w:tcPr>
            <w:tcW w:type="dxa" w:w="14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14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Внести в </w:t>
      </w:r>
      <w:hyperlink w:history="1" r:id="rIdqzgsdlmk47wxkijauvw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thn0e7eqjvzgjnelyomiv">
        <w:r>
          <w:rPr>
            <w:rFonts w:ascii="Arial" w:cs="Arial" w:eastAsia="Arial" w:hAnsi="Arial"/>
            <w:color w:val="1D4ED8"/>
            <w:sz w:val="24"/>
            <w:szCs w:val="24"/>
            <w:u w:val="single"/>
          </w:rPr>
          <w:t xml:space="preserve">336</w:t>
        </w:r>
      </w:hyperlink>
      <w:r>
        <w:rPr>
          <w:rFonts w:ascii="Arial" w:cs="Arial" w:eastAsia="Arial" w:hAnsi="Arial"/>
          <w:sz w:val="24"/>
          <w:szCs w:val="24"/>
        </w:rPr>
        <w:t xml:space="preserve"> и </w:t>
      </w:r>
      <w:hyperlink w:history="1" r:id="rId1-e7acdta0wckgvoqicg6">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от 22 февраля 2022 года № 94 следующие изменения:</w:t>
      </w:r>
    </w:p>
    <w:p>
      <w:pPr>
        <w:spacing w:after="60"/>
        <w:ind w:firstLine="567"/>
        <w:jc w:val="both"/>
      </w:pPr>
      <w:r>
        <w:rPr>
          <w:rFonts w:ascii="Arial" w:cs="Arial" w:eastAsia="Arial" w:hAnsi="Arial"/>
          <w:sz w:val="24"/>
          <w:szCs w:val="24"/>
        </w:rPr>
        <w:t xml:space="preserve">1) в абзаце третьем пункта 3 слова "тонизирующие (энергетические) безалкогольные напитки" заменить словами "воды, включая минеральные и газированные, содержащие добавки сахара или других подслащивающих или вкусо-ароматических веществ";</w:t>
      </w:r>
    </w:p>
    <w:p>
      <w:pPr>
        <w:spacing w:after="60"/>
        <w:ind w:firstLine="567"/>
        <w:jc w:val="both"/>
      </w:pPr>
      <w:r>
        <w:rPr>
          <w:rFonts w:ascii="Arial" w:cs="Arial" w:eastAsia="Arial" w:hAnsi="Arial"/>
          <w:sz w:val="24"/>
          <w:szCs w:val="24"/>
        </w:rPr>
        <w:t xml:space="preserve">2) в </w:t>
      </w:r>
      <w:hyperlink w:history="1" r:id="rIdlq2vimythkhlysqeb2g4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выдачи и применения марок акцизного сбора в Кыргызской Республике, утвержденном вышеуказанным </w:t>
      </w:r>
      <w:hyperlink w:history="1" r:id="rIdtkf54jicsf2dl6e8wle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втором пункта 1 слова "В Положении" заменить словами "В целях настоящего Положения";</w:t>
      </w:r>
    </w:p>
    <w:p>
      <w:pPr>
        <w:spacing w:after="60"/>
        <w:ind w:firstLine="567"/>
        <w:jc w:val="both"/>
      </w:pPr>
      <w:r>
        <w:rPr>
          <w:rFonts w:ascii="Arial" w:cs="Arial" w:eastAsia="Arial" w:hAnsi="Arial"/>
          <w:sz w:val="24"/>
          <w:szCs w:val="24"/>
        </w:rPr>
        <w:t xml:space="preserve">- пункт 1 дополнить подпунктом 8 следующего содержания:</w:t>
      </w:r>
    </w:p>
    <w:p>
      <w:pPr>
        <w:spacing w:after="60"/>
        <w:ind w:firstLine="567"/>
        <w:jc w:val="both"/>
      </w:pPr>
      <w:r>
        <w:rPr>
          <w:rFonts w:ascii="Arial" w:cs="Arial" w:eastAsia="Arial" w:hAnsi="Arial"/>
          <w:sz w:val="24"/>
          <w:szCs w:val="24"/>
        </w:rPr>
        <w:t xml:space="preserve">"8) банковская гарантия - это письменное обязательство коммерческого банка Кыргызской Республики, выступающего гарантом оплатить органу налоговой службы сумму обязательства в размере акцизного налога, указанную в банковской гарантии налогоплательщика, в случае неуплаты акцизного налога налогоплательщиком до 40 календарных дней с даты подачи заявки на получение акцизных марок, но не позднее 20 числа месяца, следующего за отчетным налоговым периодом.";</w:t>
      </w:r>
    </w:p>
    <w:p>
      <w:pPr>
        <w:spacing w:after="60"/>
        <w:ind w:firstLine="567"/>
        <w:jc w:val="both"/>
      </w:pPr>
      <w:r>
        <w:rPr>
          <w:rFonts w:ascii="Arial" w:cs="Arial" w:eastAsia="Arial" w:hAnsi="Arial"/>
          <w:sz w:val="24"/>
          <w:szCs w:val="24"/>
        </w:rPr>
        <w:t xml:space="preserve">- в пункте 3 слова "тонизирующие (энергетические) безалкогольные напитки" заменить словами "воды, включая минеральные и газированные, содержащие добавки сахара или других подслащивающих или вкусо-ароматических веществ";</w:t>
      </w:r>
    </w:p>
    <w:p>
      <w:pPr>
        <w:spacing w:after="60"/>
        <w:ind w:firstLine="567"/>
        <w:jc w:val="both"/>
      </w:pPr>
      <w:r>
        <w:rPr>
          <w:rFonts w:ascii="Arial" w:cs="Arial" w:eastAsia="Arial" w:hAnsi="Arial"/>
          <w:sz w:val="24"/>
          <w:szCs w:val="24"/>
        </w:rPr>
        <w:t xml:space="preserve">- дополнить 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Маркировка пива, разлитого в полимерную кегу, упакованную в одноразовую картонную коробку, в которой полимерный кег реализуется без возможности отделения от данной коробки или повторного использования данной картонной коробки, осуществляется нанесением на картонную коробку.";</w:t>
      </w:r>
    </w:p>
    <w:p>
      <w:pPr>
        <w:spacing w:after="60"/>
        <w:ind w:firstLine="567"/>
        <w:jc w:val="both"/>
      </w:pPr>
      <w:r>
        <w:rPr>
          <w:rFonts w:ascii="Arial" w:cs="Arial" w:eastAsia="Arial" w:hAnsi="Arial"/>
          <w:sz w:val="24"/>
          <w:szCs w:val="24"/>
        </w:rPr>
        <w:t xml:space="preserve">- пункт 8 после слов "На пачке табачных изделий" дополнить словами ", классифицируемых в товарной позиции ТН ВЭД 2402 и 2404,";</w:t>
      </w:r>
    </w:p>
    <w:p>
      <w:pPr>
        <w:spacing w:after="60"/>
        <w:ind w:firstLine="567"/>
        <w:jc w:val="both"/>
      </w:pPr>
      <w:r>
        <w:rPr>
          <w:rFonts w:ascii="Arial" w:cs="Arial" w:eastAsia="Arial" w:hAnsi="Arial"/>
          <w:sz w:val="24"/>
          <w:szCs w:val="24"/>
        </w:rPr>
        <w:t xml:space="preserve">- дополнить пунктами 10</w:t>
      </w:r>
      <w:r>
        <w:rPr>
          <w:rFonts w:ascii="Arial" w:cs="Arial" w:eastAsia="Arial" w:hAnsi="Arial"/>
          <w:sz w:val="24"/>
          <w:szCs w:val="24"/>
        </w:rPr>
        <w:t xml:space="preserve">1</w:t>
      </w:r>
      <w:r>
        <w:rPr>
          <w:rFonts w:ascii="Arial" w:cs="Arial" w:eastAsia="Arial" w:hAnsi="Arial"/>
          <w:sz w:val="24"/>
          <w:szCs w:val="24"/>
        </w:rPr>
        <w:t xml:space="preserve"> и 10</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На табачной и никотинсодержащей продукции, классифицируемой товарной позицией ТН ВЭД 2403 и 2404, маркировка акцизной марки осуществляется путем нанесения на одноразовую потребительскую упаковку, в которую расфасована продукция.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Сигареты электронные и аналогичные индивидуальные электрические испарительные устройства (электронные системы доставки никотина), классифицируемые товарной позицией ТН ВЭД 8543 40 000 0, маркируются путем нанесения акцизной марки на или под специальную целлофановую упаковку потребительской упаковки способом, не допускающим их отделения без повреждения.";</w:t>
      </w:r>
    </w:p>
    <w:p>
      <w:pPr>
        <w:spacing w:after="60"/>
        <w:ind w:firstLine="567"/>
        <w:jc w:val="both"/>
      </w:pPr>
      <w:r>
        <w:rPr>
          <w:rFonts w:ascii="Arial" w:cs="Arial" w:eastAsia="Arial" w:hAnsi="Arial"/>
          <w:sz w:val="24"/>
          <w:szCs w:val="24"/>
        </w:rPr>
        <w:t xml:space="preserve">- в пункте 16 цифры "14" заменить цифрами "18";</w:t>
      </w:r>
    </w:p>
    <w:p>
      <w:pPr>
        <w:spacing w:after="60"/>
        <w:ind w:firstLine="567"/>
        <w:jc w:val="both"/>
      </w:pPr>
      <w:r>
        <w:rPr>
          <w:rFonts w:ascii="Arial" w:cs="Arial" w:eastAsia="Arial" w:hAnsi="Arial"/>
          <w:sz w:val="24"/>
          <w:szCs w:val="24"/>
        </w:rPr>
        <w:t xml:space="preserve">в пункте 19:</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или банковскую гарантию и номинальную стоимость акцизных марок на все количество маркируемой продукции. Копия платежного документа или оригинал банковской гарантии остается в органе налоговой службы, оригиналы платежных документов возвращаются налогоплательщику.";</w:t>
      </w:r>
    </w:p>
    <w:p>
      <w:pPr>
        <w:spacing w:after="60"/>
        <w:ind w:firstLine="567"/>
        <w:jc w:val="both"/>
      </w:pPr>
      <w:r>
        <w:rPr>
          <w:rFonts w:ascii="Arial" w:cs="Arial" w:eastAsia="Arial" w:hAnsi="Arial"/>
          <w:sz w:val="24"/>
          <w:szCs w:val="24"/>
        </w:rPr>
        <w:t xml:space="preserve">- дополнить абзацами двенадцатым-четырнадцатым следующего содержания:</w:t>
      </w:r>
    </w:p>
    <w:p>
      <w:pPr>
        <w:spacing w:after="60"/>
        <w:ind w:firstLine="567"/>
        <w:jc w:val="both"/>
      </w:pPr>
      <w:r>
        <w:rPr>
          <w:rFonts w:ascii="Arial" w:cs="Arial" w:eastAsia="Arial" w:hAnsi="Arial"/>
          <w:sz w:val="24"/>
          <w:szCs w:val="24"/>
        </w:rPr>
        <w:t xml:space="preserve">"Органы налоговой службы осуществляют учет и контроль за исполнением производителями и импортерами обязательств по уплате акцизного налога по ранее предоставленной банковской гарантии.</w:t>
      </w:r>
    </w:p>
    <w:p>
      <w:pPr>
        <w:spacing w:after="60"/>
        <w:ind w:firstLine="567"/>
        <w:jc w:val="both"/>
      </w:pPr>
      <w:r>
        <w:rPr>
          <w:rFonts w:ascii="Arial" w:cs="Arial" w:eastAsia="Arial" w:hAnsi="Arial"/>
          <w:sz w:val="24"/>
          <w:szCs w:val="24"/>
        </w:rPr>
        <w:t xml:space="preserve">Органы налоговой службы ведут учет предоставленных банковских гарантий.</w:t>
      </w:r>
    </w:p>
    <w:p>
      <w:pPr>
        <w:spacing w:after="60"/>
        <w:ind w:firstLine="567"/>
        <w:jc w:val="both"/>
      </w:pPr>
      <w:r>
        <w:rPr>
          <w:rFonts w:ascii="Arial" w:cs="Arial" w:eastAsia="Arial" w:hAnsi="Arial"/>
          <w:sz w:val="24"/>
          <w:szCs w:val="24"/>
        </w:rPr>
        <w:t xml:space="preserve">В случае неуплаты акцизного налога налогоплательщиком в установленные сроки органы налоговой службы обязаны проконтролировать исполнение банковской гарантии.";</w:t>
      </w:r>
    </w:p>
    <w:p>
      <w:pPr>
        <w:spacing w:after="60"/>
        <w:ind w:firstLine="567"/>
        <w:jc w:val="both"/>
      </w:pPr>
      <w:r>
        <w:rPr>
          <w:rFonts w:ascii="Arial" w:cs="Arial" w:eastAsia="Arial" w:hAnsi="Arial"/>
          <w:sz w:val="24"/>
          <w:szCs w:val="24"/>
        </w:rPr>
        <w:t xml:space="preserve">- пункт 21 после слов "акцизного налога" дополнить словами "или банковской гарантии";</w:t>
      </w:r>
    </w:p>
    <w:p>
      <w:pPr>
        <w:spacing w:after="60"/>
        <w:ind w:firstLine="567"/>
        <w:jc w:val="both"/>
      </w:pPr>
      <w:r>
        <w:rPr>
          <w:rFonts w:ascii="Arial" w:cs="Arial" w:eastAsia="Arial" w:hAnsi="Arial"/>
          <w:sz w:val="24"/>
          <w:szCs w:val="24"/>
        </w:rPr>
        <w:t xml:space="preserve">- пункт 23 после слов "акцизного налога" дополнить словами "или предоставления банковской гарантии";</w:t>
      </w:r>
    </w:p>
    <w:p>
      <w:pPr>
        <w:spacing w:after="60"/>
        <w:ind w:firstLine="567"/>
        <w:jc w:val="both"/>
      </w:pPr>
      <w:r>
        <w:rPr>
          <w:rFonts w:ascii="Arial" w:cs="Arial" w:eastAsia="Arial" w:hAnsi="Arial"/>
          <w:sz w:val="24"/>
          <w:szCs w:val="24"/>
        </w:rPr>
        <w:t xml:space="preserve">3) в пункте 1 </w:t>
      </w:r>
      <w:hyperlink w:history="1" r:id="rId976anzkobo_bv4htqejkx">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вышеуказанному постановлению слова "тонизирующие (энергетические) безалкогольные напитки" заменить словами "воды, включая минеральные и газированные, содержащие добавки сахара или других подслащивающих или вкусо-ароматических веществ".</w:t>
      </w:r>
    </w:p>
    <w:p>
      <w:pPr>
        <w:spacing w:after="60"/>
        <w:ind w:firstLine="567"/>
        <w:jc w:val="both"/>
      </w:pPr>
      <w:r>
        <w:rPr>
          <w:rFonts w:ascii="Arial" w:cs="Arial" w:eastAsia="Arial" w:hAnsi="Arial"/>
          <w:sz w:val="24"/>
          <w:szCs w:val="24"/>
        </w:rPr>
        <w:t xml:space="preserve">6. Внести в </w:t>
      </w:r>
      <w:hyperlink w:history="1" r:id="rIdn7pi178waif_idn-lu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xygla6ar4bbio7qmhtm1p">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czzftgliuqbnauot8-xry">
        <w:r>
          <w:rPr>
            <w:rFonts w:ascii="Arial" w:cs="Arial" w:eastAsia="Arial" w:hAnsi="Arial"/>
            <w:color w:val="1D4ED8"/>
            <w:sz w:val="24"/>
            <w:szCs w:val="24"/>
            <w:u w:val="single"/>
          </w:rPr>
          <w:t xml:space="preserve">85</w:t>
        </w:r>
      </w:hyperlink>
      <w:r>
        <w:rPr>
          <w:rFonts w:ascii="Arial" w:cs="Arial" w:eastAsia="Arial" w:hAnsi="Arial"/>
          <w:sz w:val="24"/>
          <w:szCs w:val="24"/>
        </w:rPr>
        <w:t xml:space="preserve">, </w:t>
      </w:r>
      <w:hyperlink w:history="1" r:id="rId8j3wlcwr61ncn9bajeqpw">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jg_kpv2ktpevdlavxz8j9">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kdkkvsqfo8r_kjgcll6bu">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ujgs-bzbewal7kgdeq_cv">
        <w:r>
          <w:rPr>
            <w:rFonts w:ascii="Arial" w:cs="Arial" w:eastAsia="Arial" w:hAnsi="Arial"/>
            <w:color w:val="1D4ED8"/>
            <w:sz w:val="24"/>
            <w:szCs w:val="24"/>
            <w:u w:val="single"/>
          </w:rPr>
          <w:t xml:space="preserve">329</w:t>
        </w:r>
      </w:hyperlink>
      <w:r>
        <w:rPr>
          <w:rFonts w:ascii="Arial" w:cs="Arial" w:eastAsia="Arial" w:hAnsi="Arial"/>
          <w:sz w:val="24"/>
          <w:szCs w:val="24"/>
        </w:rPr>
        <w:t xml:space="preserve">, </w:t>
      </w:r>
      <w:hyperlink w:history="1" r:id="rIdla9qptxn8ou-7z_8bgtd_">
        <w:r>
          <w:rPr>
            <w:rFonts w:ascii="Arial" w:cs="Arial" w:eastAsia="Arial" w:hAnsi="Arial"/>
            <w:color w:val="1D4ED8"/>
            <w:sz w:val="24"/>
            <w:szCs w:val="24"/>
            <w:u w:val="single"/>
          </w:rPr>
          <w:t xml:space="preserve">414</w:t>
        </w:r>
      </w:hyperlink>
      <w:r>
        <w:rPr>
          <w:rFonts w:ascii="Arial" w:cs="Arial" w:eastAsia="Arial" w:hAnsi="Arial"/>
          <w:sz w:val="24"/>
          <w:szCs w:val="24"/>
        </w:rPr>
        <w:t xml:space="preserve"> и </w:t>
      </w:r>
      <w:hyperlink w:history="1" r:id="rIdiir7yof4fjztmz4xwtklb">
        <w:r>
          <w:rPr>
            <w:rFonts w:ascii="Arial" w:cs="Arial" w:eastAsia="Arial" w:hAnsi="Arial"/>
            <w:color w:val="1D4ED8"/>
            <w:sz w:val="24"/>
            <w:szCs w:val="24"/>
            <w:u w:val="single"/>
          </w:rPr>
          <w:t xml:space="preserve">415</w:t>
        </w:r>
      </w:hyperlink>
      <w:r>
        <w:rPr>
          <w:rFonts w:ascii="Arial" w:cs="Arial" w:eastAsia="Arial" w:hAnsi="Arial"/>
          <w:sz w:val="24"/>
          <w:szCs w:val="24"/>
        </w:rPr>
        <w:t xml:space="preserve"> Налогового кодекса Кыргызской Республики" от 24 февраля 2022 года № 95 следующее изменение:</w:t>
      </w:r>
    </w:p>
    <w:p>
      <w:pPr>
        <w:spacing w:after="60"/>
        <w:ind w:firstLine="567"/>
        <w:jc w:val="both"/>
      </w:pPr>
      <w:r>
        <w:rPr>
          <w:rFonts w:ascii="Arial" w:cs="Arial" w:eastAsia="Arial" w:hAnsi="Arial"/>
          <w:sz w:val="24"/>
          <w:szCs w:val="24"/>
        </w:rPr>
        <w:t xml:space="preserve">в </w:t>
      </w:r>
      <w:hyperlink w:history="1" r:id="rIdjibsz0e7by83r0qtsg_we">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установления налогового поста, утвержденном вышеуказанным </w:t>
      </w:r>
      <w:hyperlink w:history="1" r:id="rIdxo34gvvg83tkdbzlreet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15 слова "постановлением Кабинета Министров Кыргызской Республики" заменить словами "уполномоченным налоговым органом".</w:t>
      </w:r>
    </w:p>
    <w:p>
      <w:pPr>
        <w:spacing w:after="60"/>
        <w:ind w:firstLine="567"/>
        <w:jc w:val="both"/>
      </w:pPr>
      <w:r>
        <w:rPr>
          <w:rFonts w:ascii="Arial" w:cs="Arial" w:eastAsia="Arial" w:hAnsi="Arial"/>
          <w:sz w:val="24"/>
          <w:szCs w:val="24"/>
        </w:rPr>
        <w:t xml:space="preserve">7.</w:t>
      </w:r>
      <w:r>
        <w:rPr>
          <w:rFonts w:ascii="Arial" w:cs="Arial" w:eastAsia="Arial" w:hAnsi="Arial"/>
          <w:i/>
          <w:iCs/>
          <w:sz w:val="24"/>
          <w:szCs w:val="24"/>
        </w:rPr>
        <w:t xml:space="preserve">(Утратил силу в соответствии с </w:t>
      </w:r>
      <w:hyperlink w:history="1" r:id="rIdztglon8egwxzjvzb-tlb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533)</w:t>
      </w:r>
    </w:p>
    <w:p>
      <w:pPr>
        <w:spacing w:after="60"/>
        <w:ind w:firstLine="567"/>
        <w:jc w:val="both"/>
      </w:pPr>
      <w:r>
        <w:rPr>
          <w:rFonts w:ascii="Arial" w:cs="Arial" w:eastAsia="Arial" w:hAnsi="Arial"/>
          <w:sz w:val="24"/>
          <w:szCs w:val="24"/>
        </w:rPr>
        <w:t xml:space="preserve">8. Внести в </w:t>
      </w:r>
      <w:hyperlink w:history="1" r:id="rIdlnseyxzrxuqx2wt5mjw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применении счета-фактуры" от 18 марта 2022 года № 141 следующие изменения:</w:t>
      </w:r>
    </w:p>
    <w:p>
      <w:pPr>
        <w:spacing w:after="60"/>
        <w:ind w:firstLine="567"/>
        <w:jc w:val="both"/>
      </w:pPr>
      <w:r>
        <w:rPr>
          <w:rFonts w:ascii="Arial" w:cs="Arial" w:eastAsia="Arial" w:hAnsi="Arial"/>
          <w:sz w:val="24"/>
          <w:szCs w:val="24"/>
        </w:rPr>
        <w:t xml:space="preserve">в </w:t>
      </w:r>
      <w:hyperlink w:history="1" r:id="rId4anletro9b4xe8ngjauqt">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формирования и обращения счета-фактуры, утвержденном вышеуказанным </w:t>
      </w:r>
      <w:hyperlink w:history="1" r:id="rIdpd_biw6zkxkz3qj3upb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1 пункта 2 и пункт 10 признать утратившими силу;</w:t>
      </w:r>
    </w:p>
    <w:p>
      <w:pPr>
        <w:spacing w:after="60"/>
        <w:ind w:firstLine="567"/>
        <w:jc w:val="both"/>
      </w:pPr>
      <w:r>
        <w:rPr>
          <w:rFonts w:ascii="Arial" w:cs="Arial" w:eastAsia="Arial" w:hAnsi="Arial"/>
          <w:sz w:val="24"/>
          <w:szCs w:val="24"/>
        </w:rPr>
        <w:t xml:space="preserve">- в пункте 13 слова "посредством виртуального склада" исключить;</w:t>
      </w:r>
    </w:p>
    <w:p>
      <w:pPr>
        <w:spacing w:after="60"/>
        <w:ind w:firstLine="567"/>
        <w:jc w:val="both"/>
      </w:pPr>
      <w:r>
        <w:rPr>
          <w:rFonts w:ascii="Arial" w:cs="Arial" w:eastAsia="Arial" w:hAnsi="Arial"/>
          <w:sz w:val="24"/>
          <w:szCs w:val="24"/>
        </w:rPr>
        <w:t xml:space="preserve">- в пункте 21 цифры "17" заменить цифрами "20";</w:t>
      </w:r>
    </w:p>
    <w:p>
      <w:pPr>
        <w:spacing w:after="60"/>
        <w:ind w:firstLine="567"/>
        <w:jc w:val="both"/>
      </w:pPr>
      <w:r>
        <w:rPr>
          <w:rFonts w:ascii="Arial" w:cs="Arial" w:eastAsia="Arial" w:hAnsi="Arial"/>
          <w:sz w:val="24"/>
          <w:szCs w:val="24"/>
        </w:rPr>
        <w:t xml:space="preserve">- в пункте 22 цифры "18" заменить цифрами "21";</w:t>
      </w:r>
    </w:p>
    <w:p>
      <w:pPr>
        <w:spacing w:after="60"/>
        <w:ind w:firstLine="567"/>
        <w:jc w:val="both"/>
      </w:pPr>
      <w:r>
        <w:rPr>
          <w:rFonts w:ascii="Arial" w:cs="Arial" w:eastAsia="Arial" w:hAnsi="Arial"/>
          <w:sz w:val="24"/>
          <w:szCs w:val="24"/>
        </w:rPr>
        <w:t xml:space="preserve">- абзац первый пункта 27 изложить в следующей редакции:</w:t>
      </w:r>
    </w:p>
    <w:p>
      <w:pPr>
        <w:spacing w:after="60"/>
        <w:ind w:firstLine="567"/>
        <w:jc w:val="both"/>
      </w:pPr>
      <w:r>
        <w:rPr>
          <w:rFonts w:ascii="Arial" w:cs="Arial" w:eastAsia="Arial" w:hAnsi="Arial"/>
          <w:sz w:val="24"/>
          <w:szCs w:val="24"/>
        </w:rPr>
        <w:t xml:space="preserve">"27. Счет-фактура на поставки, которые были осуществлены в данном истекшем календарном месяце, оформляется в срок не позднее десяти рабочих дней, следующих за последним днем истекшего календарного месяца, за исключением пунктов 28 и 29 настоящего Порядка.".</w:t>
      </w:r>
    </w:p>
    <w:p>
      <w:pPr>
        <w:spacing w:after="60"/>
        <w:ind w:firstLine="567"/>
        <w:jc w:val="both"/>
      </w:pPr>
      <w:r>
        <w:rPr>
          <w:rFonts w:ascii="Arial" w:cs="Arial" w:eastAsia="Arial" w:hAnsi="Arial"/>
          <w:sz w:val="24"/>
          <w:szCs w:val="24"/>
        </w:rPr>
        <w:t xml:space="preserve">9. Внести в </w:t>
      </w:r>
      <w:hyperlink w:history="1" r:id="rIdbau42b7nh1hvsbdvvo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части 5 статьи 1, статей </w:t>
      </w:r>
      <w:hyperlink w:history="1" r:id="rIdds3tmohs5zfjxcsd7zpje">
        <w:r>
          <w:rPr>
            <w:rFonts w:ascii="Arial" w:cs="Arial" w:eastAsia="Arial" w:hAnsi="Arial"/>
            <w:color w:val="1D4ED8"/>
            <w:sz w:val="24"/>
            <w:szCs w:val="24"/>
            <w:u w:val="single"/>
          </w:rPr>
          <w:t xml:space="preserve">80</w:t>
        </w:r>
      </w:hyperlink>
      <w:r>
        <w:rPr>
          <w:rFonts w:ascii="Arial" w:cs="Arial" w:eastAsia="Arial" w:hAnsi="Arial"/>
          <w:sz w:val="24"/>
          <w:szCs w:val="24"/>
        </w:rPr>
        <w:t xml:space="preserve">, </w:t>
      </w:r>
      <w:hyperlink w:history="1" r:id="rIdseqlgi4sfmomqg_k0vnld">
        <w:r>
          <w:rPr>
            <w:rFonts w:ascii="Arial" w:cs="Arial" w:eastAsia="Arial" w:hAnsi="Arial"/>
            <w:color w:val="1D4ED8"/>
            <w:sz w:val="24"/>
            <w:szCs w:val="24"/>
            <w:u w:val="single"/>
          </w:rPr>
          <w:t xml:space="preserve">85</w:t>
        </w:r>
      </w:hyperlink>
      <w:r>
        <w:rPr>
          <w:rFonts w:ascii="Arial" w:cs="Arial" w:eastAsia="Arial" w:hAnsi="Arial"/>
          <w:sz w:val="24"/>
          <w:szCs w:val="24"/>
        </w:rPr>
        <w:t xml:space="preserve">, </w:t>
      </w:r>
      <w:hyperlink w:history="1" r:id="rIdab5sg1xihuqqrvy9duvdx">
        <w:r>
          <w:rPr>
            <w:rFonts w:ascii="Arial" w:cs="Arial" w:eastAsia="Arial" w:hAnsi="Arial"/>
            <w:color w:val="1D4ED8"/>
            <w:sz w:val="24"/>
            <w:szCs w:val="24"/>
            <w:u w:val="single"/>
          </w:rPr>
          <w:t xml:space="preserve">138</w:t>
        </w:r>
      </w:hyperlink>
      <w:r>
        <w:rPr>
          <w:rFonts w:ascii="Arial" w:cs="Arial" w:eastAsia="Arial" w:hAnsi="Arial"/>
          <w:sz w:val="24"/>
          <w:szCs w:val="24"/>
        </w:rPr>
        <w:t xml:space="preserve">, </w:t>
      </w:r>
      <w:hyperlink w:history="1" r:id="rIdzjyc4pduvtz9fjlq_xxdc">
        <w:r>
          <w:rPr>
            <w:rFonts w:ascii="Arial" w:cs="Arial" w:eastAsia="Arial" w:hAnsi="Arial"/>
            <w:color w:val="1D4ED8"/>
            <w:sz w:val="24"/>
            <w:szCs w:val="24"/>
            <w:u w:val="single"/>
          </w:rPr>
          <w:t xml:space="preserve">139</w:t>
        </w:r>
      </w:hyperlink>
      <w:r>
        <w:rPr>
          <w:rFonts w:ascii="Arial" w:cs="Arial" w:eastAsia="Arial" w:hAnsi="Arial"/>
          <w:sz w:val="24"/>
          <w:szCs w:val="24"/>
        </w:rPr>
        <w:t xml:space="preserve"> и </w:t>
      </w:r>
      <w:hyperlink w:history="1" r:id="rIdiooqflqb5ywiraoebj5mh">
        <w:r>
          <w:rPr>
            <w:rFonts w:ascii="Arial" w:cs="Arial" w:eastAsia="Arial" w:hAnsi="Arial"/>
            <w:color w:val="1D4ED8"/>
            <w:sz w:val="24"/>
            <w:szCs w:val="24"/>
            <w:u w:val="single"/>
          </w:rPr>
          <w:t xml:space="preserve">140</w:t>
        </w:r>
      </w:hyperlink>
      <w:r>
        <w:rPr>
          <w:rFonts w:ascii="Arial" w:cs="Arial" w:eastAsia="Arial" w:hAnsi="Arial"/>
          <w:sz w:val="24"/>
          <w:szCs w:val="24"/>
        </w:rPr>
        <w:t xml:space="preserve"> Налогового кодекса Кыргызской Республики" от 22 марта 2022 года № 150 следующие изменения:</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5ebyiteo-uhpyjtnlsnc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533)</w:t>
      </w:r>
    </w:p>
    <w:p>
      <w:pPr>
        <w:spacing w:after="60"/>
        <w:ind w:firstLine="567"/>
        <w:jc w:val="both"/>
      </w:pPr>
      <w:r>
        <w:rPr>
          <w:rFonts w:ascii="Arial" w:cs="Arial" w:eastAsia="Arial" w:hAnsi="Arial"/>
          <w:sz w:val="24"/>
          <w:szCs w:val="24"/>
        </w:rPr>
        <w:t xml:space="preserve">2) в </w:t>
      </w:r>
      <w:hyperlink w:history="1" r:id="rIdd4ett9v3zpjdt5ay1xtvz">
        <w:r>
          <w:rPr>
            <w:rFonts w:ascii="Arial" w:cs="Arial" w:eastAsia="Arial" w:hAnsi="Arial"/>
            <w:color w:val="1D4ED8"/>
            <w:sz w:val="24"/>
            <w:szCs w:val="24"/>
            <w:u w:val="single"/>
          </w:rPr>
          <w:t xml:space="preserve">Методике</w:t>
        </w:r>
      </w:hyperlink>
      <w:r>
        <w:rPr>
          <w:rFonts w:ascii="Arial" w:cs="Arial" w:eastAsia="Arial" w:hAnsi="Arial"/>
          <w:sz w:val="24"/>
          <w:szCs w:val="24"/>
        </w:rPr>
        <w:t xml:space="preserve"> определения налогового обязательства налогоплательщика на основе косвенных методов, утвержденной вышеуказанным </w:t>
      </w:r>
      <w:hyperlink w:history="1" r:id="rIdae543cvf-agpoq4isjk1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после слов "В случаях," дополнить словами "предусмотренных частью 2 </w:t>
      </w:r>
      <w:hyperlink w:history="1" r:id="rId2minppyfo0qtjig9pcbhw">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 дополнить 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случае когда рыночная цена на товар определяется в отношении налогоплательщика, у которого цены реализации в адрес субъектов, указанных в пунктах 5, 6 части 2 </w:t>
      </w:r>
      <w:hyperlink w:history="1" r:id="rIdvwabt38pqgjr569lsbhek">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отличаются более чем на 30 процентов от цены реализации в адрес субъектов, осуществляющих деятельность на общем налоговом режиме, в качестве рыночной цены применяется средневзвешенная цена однородных товаров, реализованных в адрес субъектов, осуществляющих деятельность на общем налоговом режиме.</w:t>
      </w:r>
    </w:p>
    <w:p>
      <w:pPr>
        <w:spacing w:after="60"/>
        <w:ind w:firstLine="567"/>
        <w:jc w:val="both"/>
      </w:pPr>
      <w:r>
        <w:rPr>
          <w:rFonts w:ascii="Arial" w:cs="Arial" w:eastAsia="Arial" w:hAnsi="Arial"/>
          <w:sz w:val="24"/>
          <w:szCs w:val="24"/>
        </w:rPr>
        <w:t xml:space="preserve">В целях настоящего пункта при расчете средневзвешенной цены товара не учитываются цены по уцененным товарам, частично потерявшим свои потребительские качества или с истекающим сроком службы до 20 процентов от установленного срока годности.".</w:t>
      </w:r>
    </w:p>
    <w:p>
      <w:pPr>
        <w:spacing w:after="60"/>
        <w:ind w:firstLine="567"/>
        <w:jc w:val="both"/>
      </w:pPr>
      <w:r>
        <w:rPr>
          <w:rFonts w:ascii="Arial" w:cs="Arial" w:eastAsia="Arial" w:hAnsi="Arial"/>
          <w:sz w:val="24"/>
          <w:szCs w:val="24"/>
        </w:rPr>
        <w:t xml:space="preserve">10. Внести в </w:t>
      </w:r>
      <w:hyperlink w:history="1" r:id="rIduqocpuzzhg3hqd2nutmf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dclzpjdm_gpj25ubpfvna">
        <w:r>
          <w:rPr>
            <w:rFonts w:ascii="Arial" w:cs="Arial" w:eastAsia="Arial" w:hAnsi="Arial"/>
            <w:color w:val="1D4ED8"/>
            <w:sz w:val="24"/>
            <w:szCs w:val="24"/>
            <w:u w:val="single"/>
          </w:rPr>
          <w:t xml:space="preserve">126</w:t>
        </w:r>
      </w:hyperlink>
      <w:r>
        <w:rPr>
          <w:rFonts w:ascii="Arial" w:cs="Arial" w:eastAsia="Arial" w:hAnsi="Arial"/>
          <w:sz w:val="24"/>
          <w:szCs w:val="24"/>
        </w:rPr>
        <w:t xml:space="preserve">, </w:t>
      </w:r>
      <w:hyperlink w:history="1" r:id="rIdedgixznxdrkdvuqgsebxv">
        <w:r>
          <w:rPr>
            <w:rFonts w:ascii="Arial" w:cs="Arial" w:eastAsia="Arial" w:hAnsi="Arial"/>
            <w:color w:val="1D4ED8"/>
            <w:sz w:val="24"/>
            <w:szCs w:val="24"/>
            <w:u w:val="single"/>
          </w:rPr>
          <w:t xml:space="preserve">326</w:t>
        </w:r>
      </w:hyperlink>
      <w:r>
        <w:rPr>
          <w:rFonts w:ascii="Arial" w:cs="Arial" w:eastAsia="Arial" w:hAnsi="Arial"/>
          <w:sz w:val="24"/>
          <w:szCs w:val="24"/>
        </w:rPr>
        <w:t xml:space="preserve">-</w:t>
      </w:r>
      <w:hyperlink w:history="1" r:id="rId1keepwrhhr6jppb7ebwbt">
        <w:r>
          <w:rPr>
            <w:rFonts w:ascii="Arial" w:cs="Arial" w:eastAsia="Arial" w:hAnsi="Arial"/>
            <w:color w:val="1D4ED8"/>
            <w:sz w:val="24"/>
            <w:szCs w:val="24"/>
            <w:u w:val="single"/>
          </w:rPr>
          <w:t xml:space="preserve">329</w:t>
        </w:r>
      </w:hyperlink>
      <w:r>
        <w:rPr>
          <w:rFonts w:ascii="Arial" w:cs="Arial" w:eastAsia="Arial" w:hAnsi="Arial"/>
          <w:sz w:val="24"/>
          <w:szCs w:val="24"/>
        </w:rPr>
        <w:t xml:space="preserve"> Налогового кодекса Кыргызской Республики, </w:t>
      </w:r>
      <w:hyperlink w:history="1" r:id="rIdkuvihkh03hmmifpulgkig">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введении в действие Налогового </w:t>
      </w:r>
      <w:hyperlink w:history="1" r:id="rIdsjssbo-qyh8gtsco1sqf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марта 2022 года № 178 следующие изменения:</w:t>
      </w:r>
    </w:p>
    <w:p>
      <w:pPr>
        <w:spacing w:after="60"/>
        <w:ind w:firstLine="567"/>
        <w:jc w:val="both"/>
      </w:pPr>
      <w:r>
        <w:rPr>
          <w:rFonts w:ascii="Arial" w:cs="Arial" w:eastAsia="Arial" w:hAnsi="Arial"/>
          <w:sz w:val="24"/>
          <w:szCs w:val="24"/>
        </w:rPr>
        <w:t xml:space="preserve">в </w:t>
      </w:r>
      <w:hyperlink w:history="1" r:id="rIdimfg_zkjuhrftdsftnaz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камеральной проверки обоснованности и размера суммы превышения налога на добавленную стоимость, порядке возмещения и возврата суммы превышения налога на добавленную стоимость, утвержденном вышеуказанным </w:t>
      </w:r>
      <w:hyperlink w:history="1" r:id="rIdnja91o-klthsgj5voum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а) подпункт 2 после слов "НДС на импорт" дополнить словами "и налоговой задолженности по НДС, удерживаемого налоговым агентом";</w:t>
      </w:r>
    </w:p>
    <w:p>
      <w:pPr>
        <w:spacing w:after="60"/>
        <w:ind w:firstLine="567"/>
        <w:jc w:val="both"/>
      </w:pPr>
      <w:r>
        <w:rPr>
          <w:rFonts w:ascii="Arial" w:cs="Arial" w:eastAsia="Arial" w:hAnsi="Arial"/>
          <w:sz w:val="24"/>
          <w:szCs w:val="24"/>
        </w:rPr>
        <w:t xml:space="preserve">б) подпункт 3 после слов "по другим видам налогов" дополнить словами ", по НДС, удерживаемого налоговым агентом";</w:t>
      </w:r>
    </w:p>
    <w:p>
      <w:pPr>
        <w:spacing w:after="60"/>
        <w:ind w:firstLine="567"/>
        <w:jc w:val="both"/>
      </w:pPr>
      <w:r>
        <w:rPr>
          <w:rFonts w:ascii="Arial" w:cs="Arial" w:eastAsia="Arial" w:hAnsi="Arial"/>
          <w:sz w:val="24"/>
          <w:szCs w:val="24"/>
        </w:rPr>
        <w:t xml:space="preserve">в) пункт 3 дополнить подпунктом 4 следующего содержания:</w:t>
      </w:r>
    </w:p>
    <w:p>
      <w:pPr>
        <w:spacing w:after="60"/>
        <w:ind w:firstLine="567"/>
        <w:jc w:val="both"/>
      </w:pPr>
      <w:r>
        <w:rPr>
          <w:rFonts w:ascii="Arial" w:cs="Arial" w:eastAsia="Arial" w:hAnsi="Arial"/>
          <w:sz w:val="24"/>
          <w:szCs w:val="24"/>
        </w:rPr>
        <w:t xml:space="preserve">"4) на основании заявления сумма превышения НДС возмещается в счет налоговой задолженности по НДС, удерживаемого налоговым агентом.";</w:t>
      </w:r>
    </w:p>
    <w:p>
      <w:pPr>
        <w:spacing w:after="60"/>
        <w:ind w:firstLine="567"/>
        <w:jc w:val="both"/>
      </w:pPr>
      <w:r>
        <w:rPr>
          <w:rFonts w:ascii="Arial" w:cs="Arial" w:eastAsia="Arial" w:hAnsi="Arial"/>
          <w:sz w:val="24"/>
          <w:szCs w:val="24"/>
        </w:rPr>
        <w:t xml:space="preserve">- дополнить 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Возмещение в счет уплаты обязательств по НДС на импорт производится только при отсутствии налоговой задолженности по другим видам налогов.";</w:t>
      </w:r>
    </w:p>
    <w:p>
      <w:pPr>
        <w:spacing w:after="60"/>
        <w:ind w:firstLine="567"/>
        <w:jc w:val="both"/>
      </w:pPr>
      <w:r>
        <w:rPr>
          <w:rFonts w:ascii="Arial" w:cs="Arial" w:eastAsia="Arial" w:hAnsi="Arial"/>
          <w:sz w:val="24"/>
          <w:szCs w:val="24"/>
        </w:rPr>
        <w:t xml:space="preserve">- дополнить пунктом 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Возврат суммы превышения НДС производится при отсутствии факторов риска необоснованности образования сумм превышения НДС.";</w:t>
      </w:r>
    </w:p>
    <w:p>
      <w:pPr>
        <w:spacing w:after="60"/>
        <w:ind w:firstLine="567"/>
        <w:jc w:val="both"/>
      </w:pPr>
      <w:r>
        <w:rPr>
          <w:rFonts w:ascii="Arial" w:cs="Arial" w:eastAsia="Arial" w:hAnsi="Arial"/>
          <w:sz w:val="24"/>
          <w:szCs w:val="24"/>
        </w:rPr>
        <w:t xml:space="preserve">- пункт 13 после слов "по другим видам налогов и" дополнить словами "НДС, удерживаемого налоговым агентом, а также";</w:t>
      </w:r>
    </w:p>
    <w:p>
      <w:pPr>
        <w:spacing w:after="60"/>
        <w:ind w:firstLine="567"/>
        <w:jc w:val="both"/>
      </w:pPr>
      <w:r>
        <w:rPr>
          <w:rFonts w:ascii="Arial" w:cs="Arial" w:eastAsia="Arial" w:hAnsi="Arial"/>
          <w:sz w:val="24"/>
          <w:szCs w:val="24"/>
        </w:rPr>
        <w:t xml:space="preserve">- в пункте 25:</w:t>
      </w:r>
    </w:p>
    <w:p>
      <w:pPr>
        <w:spacing w:after="60"/>
        <w:ind w:firstLine="567"/>
        <w:jc w:val="both"/>
      </w:pPr>
      <w:r>
        <w:rPr>
          <w:rFonts w:ascii="Arial" w:cs="Arial" w:eastAsia="Arial" w:hAnsi="Arial"/>
          <w:sz w:val="24"/>
          <w:szCs w:val="24"/>
        </w:rPr>
        <w:t xml:space="preserve">а) абзац четвертый после слов "по НДС на импорт" дополнить словами "и НДС, удерживаемого налоговым агентом";</w:t>
      </w:r>
    </w:p>
    <w:p>
      <w:pPr>
        <w:spacing w:after="60"/>
        <w:ind w:firstLine="567"/>
        <w:jc w:val="both"/>
      </w:pPr>
      <w:r>
        <w:rPr>
          <w:rFonts w:ascii="Arial" w:cs="Arial" w:eastAsia="Arial" w:hAnsi="Arial"/>
          <w:sz w:val="24"/>
          <w:szCs w:val="24"/>
        </w:rPr>
        <w:t xml:space="preserve">б) дополнить абзацем шестым следующего содержания:</w:t>
      </w:r>
    </w:p>
    <w:p>
      <w:pPr>
        <w:spacing w:after="60"/>
        <w:ind w:firstLine="567"/>
        <w:jc w:val="both"/>
      </w:pPr>
      <w:r>
        <w:rPr>
          <w:rFonts w:ascii="Arial" w:cs="Arial" w:eastAsia="Arial" w:hAnsi="Arial"/>
          <w:sz w:val="24"/>
          <w:szCs w:val="24"/>
        </w:rPr>
        <w:t xml:space="preserve">"- результаты анализа наличия или отсутствия факторов риска необоснованного образования сумм превышения НДС, указанных в </w:t>
      </w:r>
      <w:hyperlink w:history="1" r:id="rIdb8dx7ue8hunzp9n0iz3ux">
        <w:r>
          <w:rPr>
            <w:rFonts w:ascii="Arial" w:cs="Arial" w:eastAsia="Arial" w:hAnsi="Arial"/>
            <w:color w:val="1D4ED8"/>
            <w:sz w:val="24"/>
            <w:szCs w:val="24"/>
            <w:u w:val="single"/>
          </w:rPr>
          <w:t xml:space="preserve">статье 327</w:t>
        </w:r>
      </w:hyperlink>
      <w:r>
        <w:rPr>
          <w:rFonts w:ascii="Arial" w:cs="Arial" w:eastAsia="Arial" w:hAnsi="Arial"/>
          <w:sz w:val="24"/>
          <w:szCs w:val="24"/>
        </w:rPr>
        <w:t xml:space="preserve"> Налогового кодекса, при образовании суммы превышения НДС за счет осуществления поставок, облагаемых по нулевой ставке;";</w:t>
      </w:r>
    </w:p>
    <w:p>
      <w:pPr>
        <w:spacing w:after="60"/>
        <w:ind w:firstLine="567"/>
        <w:jc w:val="both"/>
      </w:pPr>
      <w:r>
        <w:rPr>
          <w:rFonts w:ascii="Arial" w:cs="Arial" w:eastAsia="Arial" w:hAnsi="Arial"/>
          <w:sz w:val="24"/>
          <w:szCs w:val="24"/>
        </w:rPr>
        <w:t xml:space="preserve">- дополнить пунктом 37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После проведения возврата и/или возмещения суммы превышения НДС налогоплательщику НДС по упрощенному порядку налоговый орган:</w:t>
      </w:r>
    </w:p>
    <w:p>
      <w:pPr>
        <w:spacing w:after="60"/>
        <w:ind w:firstLine="567"/>
        <w:jc w:val="both"/>
      </w:pPr>
      <w:r>
        <w:rPr>
          <w:rFonts w:ascii="Arial" w:cs="Arial" w:eastAsia="Arial" w:hAnsi="Arial"/>
          <w:sz w:val="24"/>
          <w:szCs w:val="24"/>
        </w:rPr>
        <w:t xml:space="preserve">1) производит запрос через уполномоченный налоговый орган в налоговые и таможенные органы государств-участников СНГ и третьих стран в целях подтверждения экспортных поставок;</w:t>
      </w:r>
    </w:p>
    <w:p>
      <w:pPr>
        <w:spacing w:after="60"/>
        <w:ind w:firstLine="567"/>
        <w:jc w:val="both"/>
      </w:pPr>
      <w:r>
        <w:rPr>
          <w:rFonts w:ascii="Arial" w:cs="Arial" w:eastAsia="Arial" w:hAnsi="Arial"/>
          <w:sz w:val="24"/>
          <w:szCs w:val="24"/>
        </w:rPr>
        <w:t xml:space="preserve">2) при налоговой регистрации поставщика в другом налоговом органе направляет запрос в целях подтверждения фактической отгрузки материальных ресурсов и уплаты им НДС по поставкам, где сумма НДС, подлежащая зачету, составляет 5 (пять) и более процентов от общей суммы НДС, принятой к зачету за обследуемый период.".</w:t>
      </w:r>
    </w:p>
    <w:p>
      <w:pPr>
        <w:spacing w:after="60"/>
        <w:ind w:firstLine="567"/>
        <w:jc w:val="both"/>
      </w:pPr>
      <w:r>
        <w:rPr>
          <w:rFonts w:ascii="Arial" w:cs="Arial" w:eastAsia="Arial" w:hAnsi="Arial"/>
          <w:sz w:val="24"/>
          <w:szCs w:val="24"/>
        </w:rPr>
        <w:t xml:space="preserve">11. Внести в </w:t>
      </w:r>
      <w:hyperlink w:history="1" r:id="rIdkwyktvbnylutdt7aam6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норм Налогового </w:t>
      </w:r>
      <w:hyperlink w:history="1" r:id="rIdvvvykbdzyjwtc8hzvrz8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норм приложения 18 к Договору о Евразийском экономическом союзе" от 30 апреля 2022 года № 236 следующее изменение:</w:t>
      </w:r>
    </w:p>
    <w:p>
      <w:pPr>
        <w:spacing w:after="60"/>
        <w:ind w:firstLine="567"/>
        <w:jc w:val="both"/>
      </w:pPr>
      <w:r>
        <w:rPr>
          <w:rFonts w:ascii="Arial" w:cs="Arial" w:eastAsia="Arial" w:hAnsi="Arial"/>
          <w:sz w:val="24"/>
          <w:szCs w:val="24"/>
        </w:rPr>
        <w:t xml:space="preserve">в </w:t>
      </w:r>
      <w:hyperlink w:history="1" r:id="rIdllizbqhhnn4hghn00g4pq">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определения стоимости химически чистого металла в руде и/или концентрате, утвержденном вышеуказанным </w:t>
      </w:r>
      <w:hyperlink w:history="1" r:id="rIdlohqqzvjaq3t_sgkr3o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дополнить абзацем третьим следующего содержания:</w:t>
      </w:r>
    </w:p>
    <w:p>
      <w:pPr>
        <w:spacing w:after="60"/>
        <w:ind w:firstLine="567"/>
        <w:jc w:val="both"/>
      </w:pPr>
      <w:r>
        <w:rPr>
          <w:rFonts w:ascii="Arial" w:cs="Arial" w:eastAsia="Arial" w:hAnsi="Arial"/>
          <w:sz w:val="24"/>
          <w:szCs w:val="24"/>
        </w:rPr>
        <w:t xml:space="preserve">"Для серебра S = С</w:t>
      </w:r>
      <w:r>
        <w:rPr>
          <w:rFonts w:ascii="Arial" w:cs="Arial" w:eastAsia="Arial" w:hAnsi="Arial"/>
          <w:sz w:val="24"/>
          <w:szCs w:val="24"/>
        </w:rPr>
        <w:t xml:space="preserve">ср</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Т </w:t>
      </w:r>
      <w:r>
        <w:rPr>
          <w:rFonts w:ascii="Arial" w:cs="Arial" w:eastAsia="Arial" w:hAnsi="Arial"/>
          <w:sz w:val="24"/>
          <w:szCs w:val="24"/>
        </w:rPr>
        <w:t xml:space="preserve">⨯</w:t>
      </w:r>
      <w:r>
        <w:rPr>
          <w:rFonts w:ascii="Arial" w:cs="Arial" w:eastAsia="Arial" w:hAnsi="Arial"/>
          <w:sz w:val="24"/>
          <w:szCs w:val="24"/>
        </w:rPr>
        <w:t xml:space="preserve"> (С / 31.1035) </w:t>
      </w:r>
      <w:r>
        <w:rPr>
          <w:rFonts w:ascii="Arial" w:cs="Arial" w:eastAsia="Arial" w:hAnsi="Arial"/>
          <w:sz w:val="24"/>
          <w:szCs w:val="24"/>
        </w:rPr>
        <w:t xml:space="preserve">⨯</w:t>
      </w:r>
      <w:r>
        <w:rPr>
          <w:rFonts w:ascii="Arial" w:cs="Arial" w:eastAsia="Arial" w:hAnsi="Arial"/>
          <w:sz w:val="24"/>
          <w:szCs w:val="24"/>
        </w:rPr>
        <w:t xml:space="preserve"> К;".</w:t>
      </w:r>
    </w:p>
    <w:p>
      <w:pPr>
        <w:spacing w:after="60"/>
        <w:ind w:firstLine="567"/>
        <w:jc w:val="both"/>
      </w:pPr>
      <w:r>
        <w:rPr>
          <w:rFonts w:ascii="Arial" w:cs="Arial" w:eastAsia="Arial" w:hAnsi="Arial"/>
          <w:sz w:val="24"/>
          <w:szCs w:val="24"/>
        </w:rPr>
        <w:t xml:space="preserve">12. Внести в </w:t>
      </w:r>
      <w:hyperlink w:history="1" r:id="rIdfc_obrxaodwlgyqckl53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w:t>
      </w:r>
      <w:hyperlink w:history="1" r:id="rIdsidafqnstvuyaqo97epgs">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Налогового кодекса Кыргызской Республики" от 16 декабря 2022 года № 687 следующие изменения:</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jni_-g3shfuxrgodao3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августа 2025 года № 533)</w:t>
      </w:r>
    </w:p>
    <w:p>
      <w:pPr>
        <w:spacing w:after="60"/>
        <w:ind w:firstLine="567"/>
        <w:jc w:val="both"/>
      </w:pPr>
      <w:r>
        <w:rPr>
          <w:rFonts w:ascii="Arial" w:cs="Arial" w:eastAsia="Arial" w:hAnsi="Arial"/>
          <w:sz w:val="24"/>
          <w:szCs w:val="24"/>
        </w:rPr>
        <w:t xml:space="preserve">2) в </w:t>
      </w:r>
      <w:hyperlink w:history="1" r:id="rIdhx7_wb5ev_gkrsasxtwz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изучения и основания проведения анализа сведений, указанных в Единой налоговой декларации физического лица, замещающего или занимающего государственную и муниципальную должность, утвержденном вышеуказанным </w:t>
      </w:r>
      <w:hyperlink w:history="1" r:id="rIdek5vc-avhobmflchgh2g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w:t>
      </w:r>
    </w:p>
    <w:p>
      <w:pPr>
        <w:spacing w:after="60"/>
        <w:ind w:firstLine="567"/>
        <w:jc w:val="both"/>
      </w:pPr>
      <w:r>
        <w:rPr>
          <w:rFonts w:ascii="Arial" w:cs="Arial" w:eastAsia="Arial" w:hAnsi="Arial"/>
          <w:sz w:val="24"/>
          <w:szCs w:val="24"/>
        </w:rPr>
        <w:t xml:space="preserve">а) подпункт 1 после слов "лиц," дополнить словами "занимающих или";</w:t>
      </w:r>
    </w:p>
    <w:p>
      <w:pPr>
        <w:spacing w:after="60"/>
        <w:ind w:firstLine="567"/>
        <w:jc w:val="both"/>
      </w:pPr>
      <w:r>
        <w:rPr>
          <w:rFonts w:ascii="Arial" w:cs="Arial" w:eastAsia="Arial" w:hAnsi="Arial"/>
          <w:sz w:val="24"/>
          <w:szCs w:val="24"/>
        </w:rPr>
        <w:t xml:space="preserve">б) подпункт 2 после слова "занимающих" дополнить словами "или замещающих";</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Налоговым органом по месту налоговой регистрации Декларанта осуществляется анализ Декларации:</w:t>
      </w:r>
    </w:p>
    <w:p>
      <w:pPr>
        <w:spacing w:after="60"/>
        <w:ind w:firstLine="567"/>
        <w:jc w:val="both"/>
      </w:pPr>
      <w:r>
        <w:rPr>
          <w:rFonts w:ascii="Arial" w:cs="Arial" w:eastAsia="Arial" w:hAnsi="Arial"/>
          <w:sz w:val="24"/>
          <w:szCs w:val="24"/>
        </w:rPr>
        <w:t xml:space="preserve">1) лиц, занимающих или замещающих:</w:t>
      </w:r>
    </w:p>
    <w:p>
      <w:pPr>
        <w:spacing w:after="60"/>
        <w:ind w:firstLine="567"/>
        <w:jc w:val="both"/>
      </w:pPr>
      <w:r>
        <w:rPr>
          <w:rFonts w:ascii="Arial" w:cs="Arial" w:eastAsia="Arial" w:hAnsi="Arial"/>
          <w:sz w:val="24"/>
          <w:szCs w:val="24"/>
        </w:rPr>
        <w:t xml:space="preserve">- административные государственные должности;</w:t>
      </w:r>
    </w:p>
    <w:p>
      <w:pPr>
        <w:spacing w:after="60"/>
        <w:ind w:firstLine="567"/>
        <w:jc w:val="both"/>
      </w:pPr>
      <w:r>
        <w:rPr>
          <w:rFonts w:ascii="Arial" w:cs="Arial" w:eastAsia="Arial" w:hAnsi="Arial"/>
          <w:sz w:val="24"/>
          <w:szCs w:val="24"/>
        </w:rPr>
        <w:t xml:space="preserve">- политические, административные муниципальные должности;</w:t>
      </w:r>
    </w:p>
    <w:p>
      <w:pPr>
        <w:spacing w:after="60"/>
        <w:ind w:firstLine="567"/>
        <w:jc w:val="both"/>
      </w:pPr>
      <w:r>
        <w:rPr>
          <w:rFonts w:ascii="Arial" w:cs="Arial" w:eastAsia="Arial" w:hAnsi="Arial"/>
          <w:sz w:val="24"/>
          <w:szCs w:val="24"/>
        </w:rPr>
        <w:t xml:space="preserve">- должность сотрудников дипломатических служб;</w:t>
      </w:r>
    </w:p>
    <w:p>
      <w:pPr>
        <w:spacing w:after="60"/>
        <w:ind w:firstLine="567"/>
        <w:jc w:val="both"/>
      </w:pPr>
      <w:r>
        <w:rPr>
          <w:rFonts w:ascii="Arial" w:cs="Arial" w:eastAsia="Arial" w:hAnsi="Arial"/>
          <w:sz w:val="24"/>
          <w:szCs w:val="24"/>
        </w:rPr>
        <w:t xml:space="preserve">2) военнослужащих и сотрудников правоохранительных органов.";</w:t>
      </w:r>
    </w:p>
    <w:p>
      <w:pPr>
        <w:spacing w:after="60"/>
        <w:ind w:firstLine="567"/>
        <w:jc w:val="both"/>
      </w:pPr>
      <w:r>
        <w:rPr>
          <w:rFonts w:ascii="Arial" w:cs="Arial" w:eastAsia="Arial" w:hAnsi="Arial"/>
          <w:sz w:val="24"/>
          <w:szCs w:val="24"/>
        </w:rPr>
        <w:t xml:space="preserve">- наименование </w:t>
      </w:r>
      <w:hyperlink w:history="1" r:id="rIdkx64b2br2wcmn3dhvemtc">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Налоговая тайна";</w:t>
      </w:r>
    </w:p>
    <w:p>
      <w:pPr>
        <w:spacing w:after="60"/>
        <w:ind w:firstLine="567"/>
        <w:jc w:val="both"/>
      </w:pPr>
      <w:r>
        <w:rPr>
          <w:rFonts w:ascii="Arial" w:cs="Arial" w:eastAsia="Arial" w:hAnsi="Arial"/>
          <w:sz w:val="24"/>
          <w:szCs w:val="24"/>
        </w:rPr>
        <w:t xml:space="preserve">- в пунктах 16, 17 слова "тайну сведений" заменить словами "налоговую тайну".</w:t>
      </w:r>
    </w:p>
    <w:p>
      <w:pPr>
        <w:spacing w:after="60"/>
        <w:ind w:firstLine="567"/>
        <w:jc w:val="both"/>
      </w:pPr>
      <w:r>
        <w:rPr>
          <w:rFonts w:ascii="Arial" w:cs="Arial" w:eastAsia="Arial" w:hAnsi="Arial"/>
          <w:sz w:val="24"/>
          <w:szCs w:val="24"/>
        </w:rPr>
        <w:t xml:space="preserve">13.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22 сентября 2023 года № 76 (3525)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hhan8oopxxebpvvmxrs">
      <w:r>
        <w:rPr>
          <w:rFonts w:ascii="Arial" w:cs="Arial" w:eastAsia="Arial" w:hAnsi="Arial"/>
          <w:color w:val="132D3F"/>
          <w:sz w:val="16"/>
          <w:szCs w:val="16"/>
          <w:u w:val="single"/>
        </w:rPr>
        <w:t xml:space="preserve">dalil.kg/document/160417</w:t>
      </w:r>
    </w:hyperlink>
  </w:p>
  <w:p>
    <w:pPr>
      <w:spacing w:after="0" w:before="40"/>
      <w:jc w:val="center"/>
    </w:pPr>
    <w:hyperlink w:history="1" r:id="rIduk0hbmjzrhjqmd7st3uo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4eu-jdniubrjqpvys4v" Type="http://schemas.openxmlformats.org/officeDocument/2006/relationships/hyperlink" Target="https://dalil.kg/document/230030441" TargetMode="External"/><Relationship Id="rIdt00brqeobk11ltclsueqq" Type="http://schemas.openxmlformats.org/officeDocument/2006/relationships/hyperlink" Target="https://dalil.kg/document/230033112" TargetMode="External"/><Relationship Id="rIdeexkpvwacq1l9kwxv9xbg" Type="http://schemas.openxmlformats.org/officeDocument/2006/relationships/hyperlink" Target="https://dalil.kg/document/112552" TargetMode="External"/><Relationship Id="rIdfcnqqziax-yhhbtnd5g_r" Type="http://schemas.openxmlformats.org/officeDocument/2006/relationships/hyperlink" Target="https://dalil.kg/document/112301#st_13" TargetMode="External"/><Relationship Id="rIdi8abvtznsqhu-7df3p3gn" Type="http://schemas.openxmlformats.org/officeDocument/2006/relationships/hyperlink" Target="https://dalil.kg/document/112301#st_17" TargetMode="External"/><Relationship Id="rIdl0-e01qqbnpyvlwtdxyed" Type="http://schemas.openxmlformats.org/officeDocument/2006/relationships/hyperlink" Target="https://dalil.kg/document/14645" TargetMode="External"/><Relationship Id="rIdovj5ckwxclba_kccyebwd" Type="http://schemas.openxmlformats.org/officeDocument/2006/relationships/hyperlink" Target="https://dalil.kg/document/112340#st_156" TargetMode="External"/><Relationship Id="rIdorpwmennarek-o1bpqc0g" Type="http://schemas.openxmlformats.org/officeDocument/2006/relationships/hyperlink" Target="https://dalil.kg/document/230033112" TargetMode="External"/><Relationship Id="rIdj07cj7r9ih4y4525ersl2" Type="http://schemas.openxmlformats.org/officeDocument/2006/relationships/hyperlink" Target="https://dalil.kg/document/158815" TargetMode="External"/><Relationship Id="rIdkj7dajhrl6wu3ielhdczg" Type="http://schemas.openxmlformats.org/officeDocument/2006/relationships/hyperlink" Target="https://dalil.kg/document/159003#pr1" TargetMode="External"/><Relationship Id="rIdqj4emnjbx2mpyv6-3aa-p" Type="http://schemas.openxmlformats.org/officeDocument/2006/relationships/hyperlink" Target="https://dalil.kg/document/159003#pr2" TargetMode="External"/><Relationship Id="rIdqzgsdlmk47wxkijauvwia" Type="http://schemas.openxmlformats.org/officeDocument/2006/relationships/hyperlink" Target="https://dalil.kg/document/159100" TargetMode="External"/><Relationship Id="rIdthn0e7eqjvzgjnelyomiv" Type="http://schemas.openxmlformats.org/officeDocument/2006/relationships/hyperlink" Target="https://dalil.kg/document/112340#st_336" TargetMode="External"/><Relationship Id="rId1-e7acdta0wckgvoqicg6" Type="http://schemas.openxmlformats.org/officeDocument/2006/relationships/hyperlink" Target="https://dalil.kg/document/112340#st_345" TargetMode="External"/><Relationship Id="rIdlq2vimythkhlysqeb2g4m" Type="http://schemas.openxmlformats.org/officeDocument/2006/relationships/hyperlink" Target="https://dalil.kg/document/430908" TargetMode="External"/><Relationship Id="rIdtkf54jicsf2dl6e8wlefu" Type="http://schemas.openxmlformats.org/officeDocument/2006/relationships/hyperlink" Target="https://dalil.kg/document/159100" TargetMode="External"/><Relationship Id="rId976anzkobo_bv4htqejkx" Type="http://schemas.openxmlformats.org/officeDocument/2006/relationships/hyperlink" Target="https://dalil.kg/document/159100#pr3" TargetMode="External"/><Relationship Id="rIdn7pi178waif_idn-luw-c" Type="http://schemas.openxmlformats.org/officeDocument/2006/relationships/hyperlink" Target="https://dalil.kg/document/159028" TargetMode="External"/><Relationship Id="rIdxygla6ar4bbio7qmhtm1p" Type="http://schemas.openxmlformats.org/officeDocument/2006/relationships/hyperlink" Target="https://dalil.kg/document/112340#st_59" TargetMode="External"/><Relationship Id="rIdczzftgliuqbnauot8-xry" Type="http://schemas.openxmlformats.org/officeDocument/2006/relationships/hyperlink" Target="https://dalil.kg/document/112340#st_85" TargetMode="External"/><Relationship Id="rId8j3wlcwr61ncn9bajeqpw" Type="http://schemas.openxmlformats.org/officeDocument/2006/relationships/hyperlink" Target="https://dalil.kg/document/112340#st_127" TargetMode="External"/><Relationship Id="rIdjg_kpv2ktpevdlavxz8j9" Type="http://schemas.openxmlformats.org/officeDocument/2006/relationships/hyperlink" Target="https://dalil.kg/document/112340#st_130" TargetMode="External"/><Relationship Id="rIdkdkkvsqfo8r_kjgcll6bu" Type="http://schemas.openxmlformats.org/officeDocument/2006/relationships/hyperlink" Target="https://dalil.kg/document/112340#st_131" TargetMode="External"/><Relationship Id="rIdujgs-bzbewal7kgdeq_cv" Type="http://schemas.openxmlformats.org/officeDocument/2006/relationships/hyperlink" Target="https://dalil.kg/document/112340#st_329" TargetMode="External"/><Relationship Id="rIdla9qptxn8ou-7z_8bgtd_" Type="http://schemas.openxmlformats.org/officeDocument/2006/relationships/hyperlink" Target="https://dalil.kg/document/112340#st_414" TargetMode="External"/><Relationship Id="rIdiir7yof4fjztmz4xwtklb" Type="http://schemas.openxmlformats.org/officeDocument/2006/relationships/hyperlink" Target="https://dalil.kg/document/112340#st_415" TargetMode="External"/><Relationship Id="rIdjibsz0e7by83r0qtsg_we" Type="http://schemas.openxmlformats.org/officeDocument/2006/relationships/hyperlink" Target="https://dalil.kg/document/159031" TargetMode="External"/><Relationship Id="rIdxo34gvvg83tkdbzlreet4" Type="http://schemas.openxmlformats.org/officeDocument/2006/relationships/hyperlink" Target="https://dalil.kg/document/159028" TargetMode="External"/><Relationship Id="rIdztglon8egwxzjvzb-tlbb" Type="http://schemas.openxmlformats.org/officeDocument/2006/relationships/hyperlink" Target="https://dalil.kg/document/230030441" TargetMode="External"/><Relationship Id="rIdlnseyxzrxuqx2wt5mjwel" Type="http://schemas.openxmlformats.org/officeDocument/2006/relationships/hyperlink" Target="https://dalil.kg/document/159138" TargetMode="External"/><Relationship Id="rId4anletro9b4xe8ngjauqt" Type="http://schemas.openxmlformats.org/officeDocument/2006/relationships/hyperlink" Target="https://dalil.kg/document/159212" TargetMode="External"/><Relationship Id="rIdpd_biw6zkxkz3qj3upbqu" Type="http://schemas.openxmlformats.org/officeDocument/2006/relationships/hyperlink" Target="https://dalil.kg/document/159138" TargetMode="External"/><Relationship Id="rIdbau42b7nh1hvsbdvvoo-6" Type="http://schemas.openxmlformats.org/officeDocument/2006/relationships/hyperlink" Target="https://dalil.kg/document/159143" TargetMode="External"/><Relationship Id="rIdds3tmohs5zfjxcsd7zpje" Type="http://schemas.openxmlformats.org/officeDocument/2006/relationships/hyperlink" Target="https://dalil.kg/document/112340#st_80" TargetMode="External"/><Relationship Id="rIdseqlgi4sfmomqg_k0vnld" Type="http://schemas.openxmlformats.org/officeDocument/2006/relationships/hyperlink" Target="https://dalil.kg/document/112340#st_85" TargetMode="External"/><Relationship Id="rIdab5sg1xihuqqrvy9duvdx" Type="http://schemas.openxmlformats.org/officeDocument/2006/relationships/hyperlink" Target="https://dalil.kg/document/112340#st_138" TargetMode="External"/><Relationship Id="rIdzjyc4pduvtz9fjlq_xxdc" Type="http://schemas.openxmlformats.org/officeDocument/2006/relationships/hyperlink" Target="https://dalil.kg/document/112340#st_139" TargetMode="External"/><Relationship Id="rIdiooqflqb5ywiraoebj5mh" Type="http://schemas.openxmlformats.org/officeDocument/2006/relationships/hyperlink" Target="https://dalil.kg/document/112340#st_140" TargetMode="External"/><Relationship Id="rId5ebyiteo-uhpyjtnlsncz" Type="http://schemas.openxmlformats.org/officeDocument/2006/relationships/hyperlink" Target="https://dalil.kg/document/230030441" TargetMode="External"/><Relationship Id="rIdd4ett9v3zpjdt5ay1xtvz" Type="http://schemas.openxmlformats.org/officeDocument/2006/relationships/hyperlink" Target="https://dalil.kg/document/159169" TargetMode="External"/><Relationship Id="rIdae543cvf-agpoq4isjk1t" Type="http://schemas.openxmlformats.org/officeDocument/2006/relationships/hyperlink" Target="https://dalil.kg/document/159143" TargetMode="External"/><Relationship Id="rId2minppyfo0qtjig9pcbhw" Type="http://schemas.openxmlformats.org/officeDocument/2006/relationships/hyperlink" Target="https://dalil.kg/document/112340#st_139" TargetMode="External"/><Relationship Id="rIdvwabt38pqgjr569lsbhek" Type="http://schemas.openxmlformats.org/officeDocument/2006/relationships/hyperlink" Target="https://dalil.kg/document/112340#st_139" TargetMode="External"/><Relationship Id="rIduqocpuzzhg3hqd2nutmf1" Type="http://schemas.openxmlformats.org/officeDocument/2006/relationships/hyperlink" Target="https://dalil.kg/document/159096" TargetMode="External"/><Relationship Id="rIddclzpjdm_gpj25ubpfvna" Type="http://schemas.openxmlformats.org/officeDocument/2006/relationships/hyperlink" Target="https://dalil.kg/document/112340#st_126" TargetMode="External"/><Relationship Id="rIdedgixznxdrkdvuqgsebxv" Type="http://schemas.openxmlformats.org/officeDocument/2006/relationships/hyperlink" Target="https://dalil.kg/document/112340#st_326" TargetMode="External"/><Relationship Id="rId1keepwrhhr6jppb7ebwbt" Type="http://schemas.openxmlformats.org/officeDocument/2006/relationships/hyperlink" Target="https://dalil.kg/document/112340#st_329" TargetMode="External"/><Relationship Id="rIdkuvihkh03hmmifpulgkig" Type="http://schemas.openxmlformats.org/officeDocument/2006/relationships/hyperlink" Target="https://dalil.kg/document/112342#st_4" TargetMode="External"/><Relationship Id="rIdsjssbo-qyh8gtsco1sqf0" Type="http://schemas.openxmlformats.org/officeDocument/2006/relationships/hyperlink" Target="https://dalil.kg/document/112340" TargetMode="External"/><Relationship Id="rIdimfg_zkjuhrftdsftnazr" Type="http://schemas.openxmlformats.org/officeDocument/2006/relationships/hyperlink" Target="https://dalil.kg/document/159112" TargetMode="External"/><Relationship Id="rIdnja91o-klthsgj5voumoc" Type="http://schemas.openxmlformats.org/officeDocument/2006/relationships/hyperlink" Target="https://dalil.kg/document/159096" TargetMode="External"/><Relationship Id="rIdb8dx7ue8hunzp9n0iz3ux" Type="http://schemas.openxmlformats.org/officeDocument/2006/relationships/hyperlink" Target="https://dalil.kg/document/112340#st_327" TargetMode="External"/><Relationship Id="rIdkwyktvbnylutdt7aam6fs" Type="http://schemas.openxmlformats.org/officeDocument/2006/relationships/hyperlink" Target="https://dalil.kg/document/159917" TargetMode="External"/><Relationship Id="rIdvvvykbdzyjwtc8hzvrz8d" Type="http://schemas.openxmlformats.org/officeDocument/2006/relationships/hyperlink" Target="https://dalil.kg/document/112340" TargetMode="External"/><Relationship Id="rIdllizbqhhnn4hghn00g4pq" Type="http://schemas.openxmlformats.org/officeDocument/2006/relationships/hyperlink" Target="https://dalil.kg/document/159923" TargetMode="External"/><Relationship Id="rIdlohqqzvjaq3t_sgkr3ome" Type="http://schemas.openxmlformats.org/officeDocument/2006/relationships/hyperlink" Target="https://dalil.kg/document/159917" TargetMode="External"/><Relationship Id="rIdfc_obrxaodwlgyqckl53y" Type="http://schemas.openxmlformats.org/officeDocument/2006/relationships/hyperlink" Target="https://dalil.kg/document/159664" TargetMode="External"/><Relationship Id="rIdsidafqnstvuyaqo97epgs" Type="http://schemas.openxmlformats.org/officeDocument/2006/relationships/hyperlink" Target="https://dalil.kg/document/112340#st_107" TargetMode="External"/><Relationship Id="rIdjni_-g3shfuxrgodao3tq" Type="http://schemas.openxmlformats.org/officeDocument/2006/relationships/hyperlink" Target="https://dalil.kg/document/230030441" TargetMode="External"/><Relationship Id="rIdhx7_wb5ev_gkrsasxtwzk" Type="http://schemas.openxmlformats.org/officeDocument/2006/relationships/hyperlink" Target="https://dalil.kg/document/159705" TargetMode="External"/><Relationship Id="rIdek5vc-avhobmflchgh2g5" Type="http://schemas.openxmlformats.org/officeDocument/2006/relationships/hyperlink" Target="https://dalil.kg/document/159664" TargetMode="External"/><Relationship Id="rIdkx64b2br2wcmn3dhvemtc" Type="http://schemas.openxmlformats.org/officeDocument/2006/relationships/hyperlink" Target="https://dalil.kg/document/159705#r5" TargetMode="External"/><Relationship Id="rId8" Type="http://schemas.openxmlformats.org/officeDocument/2006/relationships/image" Target="media/8de64316e95979c063c17bcd5380dc052a2594e9.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hhan8oopxxebpvvmxrs" Type="http://schemas.openxmlformats.org/officeDocument/2006/relationships/hyperlink" Target="https://dalil.kg/document/160417" TargetMode="External"/><Relationship Id="rIduk0hbmjzrhjqmd7st3uo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2026-09-24T02:23:57.215Z</dcterms:created>
  <dcterms:modified xsi:type="dcterms:W3CDTF">2026-09-24T02:23:57.215Z</dcterms:modified>
</cp:coreProperties>
</file>

<file path=docProps/custom.xml><?xml version="1.0" encoding="utf-8"?>
<Properties xmlns="http://schemas.openxmlformats.org/officeDocument/2006/custom-properties" xmlns:vt="http://schemas.openxmlformats.org/officeDocument/2006/docPropsVTypes"/>
</file>