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сентября 2023 года № 460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лесного фонда в целях, не связанных с ведением лесного хозяйства" от 13 августа 2013 года № 458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и восполнения пробелов в действующем законодательстве в сфере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в соответствии со статьями </w:t>
      </w:r>
      <w:hyperlink w:history="1" r:id="rIdcnt4wjz7e7qrehumwwe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slrqfcvjbhorstrx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101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статьями </w:t>
      </w:r>
      <w:hyperlink w:history="1" r:id="rIddkps5bq-urfmj821xlk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sfcuzzahbfhbkdez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0omxyrip1jknx4c0yd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5y-f-yxsqu3fep7u4-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лесного фонда в целях, не связанных с ведением лесного хозяйства" от 13 августа 2013 года № 458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Порядка определения стоимостной оценки (нормативной цены)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прилагаемый Порядок определения стоимостной оценки (нормативной цены)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 (далее - Порядок).";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Уполномоченным государственным органам в сфере лесного хозяйства и особо охраняемых природных территорий: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нормативную цену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 в соответствии с Порядком, утвержденным пунктом 1 настоящего постановления.";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lfqkvlaut5lvgp7fm7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лесного фонда в целях, не связанных с ведением лесного хозяйства, утвержденном вышеуказанным </w:t>
      </w:r>
      <w:hyperlink w:history="1" r:id="rIdyskoerenl4ihnnkgksl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определения стоимостной оценки (нормативной цены)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Порядок определения стоимостной оценки (нормативной цены) земель государственного лесного фонда,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 (далее - Порядок) предназначен для определения стоимостной оценки (нормативной цены) в целях расчета размера платы, взимаемой в случаях использования земель, не связанных с ведением лесного хозяйства, или использования не по целевым назначениям, возмещения убытков и потерь лесохозяйственного производства, причиненных изъятием или временным занятием участков и ограничением прав собственника земель государственного лесного фонда, особо охраняемых природных территорий и покрытых лесом площадей других категорий земельного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многофункциональной роли земель государственного лесного фонда, особо охраняемых природных территорий и покрытых лесом площадей других категорий земельного фонда их стоимостная оценка (нормативная цена) определяется путем проведения кадастровой оценки всего многообразия объектов на основании лесоустроительных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убытки и потери, возникшие в результате деятельности физических и юридических лиц на землях государственного лесного фонда, особо охраняемых природных территорий и покрытых лесом площадей других категорий земельного фонда, подлежат возмещению.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убытки и потери возмещаются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участков земель государственного лесного фонда, особо охраняемых природных территорий и покрытых лесом площадей других категорий земельного фонда для государственных и общественных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(трансформации) земель государственного лесного фонда, особо охраняемых природных территорий и покрытых лесом площадей других категорий земельного фонда, за исключением случаев,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земель государственного лесного фонда, особо охраняемых природных территорий и покрытых лесом площадей других категорий земельного фонда в целях, не связанных с ведением лесного хозяйства, или использования не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ухудшения качественного и количественного состояния земель государственного лесного фонда, особо охраняемых природных территорий и покрытых лесом площадей других категорий земельного фонда в результате деятельности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земель государственного лесного фонда, особо охраняемых природных территорий и покрытых лесом площадей других категорий земельного фонда, изъятие земель, перевод (трансформация), использование не по целевому назначению допускаются после осуществления в установленном порядке расчетов и возмещения сумм убытков и потерь лесохозяйственного производства.";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"лесных земель" заменить словами "лесных и нелесных земель государственного лесного фонда и особо охраняемых природных территорий, а также покрытых лесом площадей других категорий земельного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третьего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"Объектами оценки выступают лесные земли (покрытые лесной растительностью земли и непокрытые лесной растительностью земли, включая земли, занятые гарями, прогалинами, рединами, вырубками, погибшими насаждениями) и нелесные земли, входящие в состав земель государственного лесного фонда и особо охраняемых природных территорий, а также покрытых лесом площадей других категорий земельного фонда;";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древостой, которые в момент оценки находятся на оцениваемом участке государственного лесного фонда и особо охраняемых природных территорий, а также покрытых лесом площадей других категорий земельного фонда;";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Недревесные ресурсы лесных пользований оцениваются по действующим ставкам, установленным </w:t>
      </w:r>
      <w:hyperlink w:history="1" r:id="rIdiqw6cp97_3quvkxjbkw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платы за пользование объектами растительного мира Кыргызской Республики и </w:t>
      </w:r>
      <w:hyperlink w:history="1" r:id="rIdft_zlywrgnimjzjelaz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взимания и использования платы за пользование объектами растительного мира Кыргызской Республики" от 14 сентября 2015 года № 631.";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"участков земель лесного" заменить словами "лесных и нелесных земель государственного лесного фонда, особо охраняемых природных территорий и покрытых лесом площадей других категорий земельного";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kxpk7jvwxqfsmdpzyt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II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"участков лесных земель" заменить словами "лесных и нелесных земель государственного лесного фонда, особо охраняемых природных территорий и покрытых лесом площадей других категорий земельного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"Покрытые лесом площади других категорий земель земельного фонда - земли, занятые лесными насаждениями естественного и искусственного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лесохозяйственного производства - это сумма валового капитализированного дохода от экологических функций и стоимости фактической древесины.";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после слов "изданных работ" дополнить словами "или заключений";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"Убытки лесохозяйственного производства - это сумма валового капитализированного дохода от древесных и недревесных ресурсов.";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"лесных земель" заменить словами "земель государственного лесного фонда, особо охраняемых природных территорий и покрытых лесом площадей других категорий земель земельного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Оценка земель государственного лесного фонда, особо охраняемых природных территорий и покрытых лесом площадей других категорий земельного фонда проводится по их потенциальной производительности, по установленным ставкам таксы на древесину согласно пункту 3 настоящего Порядка. Значение потенциальной продуктивности принимается исходя из данных о продуктивности различных типов лесов или лесных культур, как местных, так и интродуцированных лесных пород. В случае отсутствия данных о продуктивности как по древесине, так и по плодам используются усредненные данные за последний ревизионный период по лесоустроительным материалам (средние значения для древесины по лесорастительному району).";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третьем абзаца первого после слов "соответствующие таксы" дополнить словами "1 разряда";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кустарниковых пород принимаются таксы дровяной древесины по усредненному значению твердолиственных и мягколиственных пород.";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Валовой капитализированный доход от недревесных ресурсов определяется по следующей формуле (формула 9):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 / 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 = П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 х (20С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 - годовой размера лесных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 - коэффициент капитализации - 0,01;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 - продуктивности недревесных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20С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двадцатикратная величина ставки платы за пользование объектами растительного мира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Редины, прогалины, пустыри, погибшие насаждения, а также несомкнувшиеся лесные культуры оцениваются по минимальной продуктивности главной породы в данных лесорастительных условиях. Если отсутствует минимальная продуктивность главной породы, то принимается усредненное значение за последний ревизионный период лесоустройства.";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9vjxxcehzmjs_frwr5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IV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При оценке нелесных земель кадастровая стоимость земель сельскохозяйственного назначения (пашен, сенокосов, пастбищ, садов и других земель), находящихся в составе земель государственного лесного фонда и особо охраняемых природных территорий, приравнивается к кадастровой стоимости, принятой на территории Кыргызской Республики для земель сельскохозяйственного назначения соответствующего качества и местоположения, в соответствии с </w:t>
      </w:r>
      <w:hyperlink w:history="1" r:id="rIdkwgvusmm85r9yns_lya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vy3r86ha-uy12iwmiw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земли сельскохозяйственного назначения" от 4 февраля 2002 года № 47.";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"Учитывая, что данные участки являются потенциальным лесокультурным фондом, расчеты производятся с использованием коэффициента капитализации как для лесного хозяйства - 0,01.";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"Земли, занятые дорогами, водными объектами, болотами, скалами, галечниками, каменистыми россыпями, лессовидными обнажениями, оцениваются как прочие земли, если иное не предусмотрено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пятьдесят пятым - семьдесят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"Экспериментальные расчеты на примере арчовых лесов Ноокатского лесхоза.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оцениваемом участке лесного фонда тип леса - арчевник сухой низкотравный - 7.3 (Типология лесов Кыргызской Республики, 2008).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Рассчитаем стоимость 1 га: главная порода - арча, возраст спелости - 170 лет. В страте (поставить средний запас страты) средний запас составляет 150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/га, средний возраст - 86 лет. Продуктивность берем по данным о типе леса или культур. Продуктивность по данному типу леса - до 180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/га, где средний запас 150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/га. Принимаем потенциальную продуктивность (З</w:t>
      </w: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) - 180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/га. В данном случае О</w:t>
      </w:r>
      <w:r>
        <w:rPr>
          <w:rFonts w:ascii="Arial" w:cs="Arial" w:eastAsia="Arial" w:hAnsi="Arial"/>
          <w:sz w:val="24"/>
          <w:szCs w:val="24"/>
        </w:rPr>
        <w:t xml:space="preserve">Ʃ</w:t>
      </w:r>
      <w:r>
        <w:rPr>
          <w:rFonts w:ascii="Arial" w:cs="Arial" w:eastAsia="Arial" w:hAnsi="Arial"/>
          <w:sz w:val="24"/>
          <w:szCs w:val="24"/>
        </w:rPr>
        <w:t xml:space="preserve"> - сумма валовых капитализированных доходов на 1 га лесных земель, примем как сумму от капитализированного дохода от древесных ресурсов (О</w:t>
      </w:r>
      <w:r>
        <w:rPr>
          <w:rFonts w:ascii="Arial" w:cs="Arial" w:eastAsia="Arial" w:hAnsi="Arial"/>
          <w:sz w:val="24"/>
          <w:szCs w:val="24"/>
        </w:rPr>
        <w:t xml:space="preserve">др</w:t>
      </w:r>
      <w:r>
        <w:rPr>
          <w:rFonts w:ascii="Arial" w:cs="Arial" w:eastAsia="Arial" w:hAnsi="Arial"/>
          <w:sz w:val="24"/>
          <w:szCs w:val="24"/>
        </w:rPr>
        <w:t xml:space="preserve">) и капитализированного дохода от экологических функций лесов (О</w:t>
      </w:r>
      <w:r>
        <w:rPr>
          <w:rFonts w:ascii="Arial" w:cs="Arial" w:eastAsia="Arial" w:hAnsi="Arial"/>
          <w:sz w:val="24"/>
          <w:szCs w:val="24"/>
        </w:rPr>
        <w:t xml:space="preserve">эф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Рассчитаем капитализированный доход от древесных ресурсов (О</w:t>
      </w:r>
      <w:r>
        <w:rPr>
          <w:rFonts w:ascii="Arial" w:cs="Arial" w:eastAsia="Arial" w:hAnsi="Arial"/>
          <w:sz w:val="24"/>
          <w:szCs w:val="24"/>
        </w:rPr>
        <w:t xml:space="preserve">др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Находим стоимость запаса древесины по потенциальной продуктивности -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потенциальную продуктивность (З</w:t>
      </w:r>
      <w:r>
        <w:rPr>
          <w:rFonts w:ascii="Arial" w:cs="Arial" w:eastAsia="Arial" w:hAnsi="Arial"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) умножаем на таксу средней деловой древесины для 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 х (1608,3 * 3) сом/м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868482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стоимость запаса древесины по потенциальной продуктивности - 868482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запаса древесины по потенциальной продуктивности умножаем на коэффициент для определения капитализированного валового дохода, получаемого при отпуске древесины: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868482 сом/га х 0,23 = 199750,86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валовой капитализированный доход от древесных ресурсов (О</w:t>
      </w:r>
      <w:r>
        <w:rPr>
          <w:rFonts w:ascii="Arial" w:cs="Arial" w:eastAsia="Arial" w:hAnsi="Arial"/>
          <w:sz w:val="24"/>
          <w:szCs w:val="24"/>
        </w:rPr>
        <w:t xml:space="preserve">др</w:t>
      </w:r>
      <w:r>
        <w:rPr>
          <w:rFonts w:ascii="Arial" w:cs="Arial" w:eastAsia="Arial" w:hAnsi="Arial"/>
          <w:sz w:val="24"/>
          <w:szCs w:val="24"/>
        </w:rPr>
        <w:t xml:space="preserve">) - 199750,86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Находим валовой капитализированный доход от экологических функций лесов, для этого валовой капитализированный доход от древесных ресурсов (О</w:t>
      </w:r>
      <w:r>
        <w:rPr>
          <w:rFonts w:ascii="Arial" w:cs="Arial" w:eastAsia="Arial" w:hAnsi="Arial"/>
          <w:sz w:val="24"/>
          <w:szCs w:val="24"/>
        </w:rPr>
        <w:t xml:space="preserve">др</w:t>
      </w:r>
      <w:r>
        <w:rPr>
          <w:rFonts w:ascii="Arial" w:cs="Arial" w:eastAsia="Arial" w:hAnsi="Arial"/>
          <w:sz w:val="24"/>
          <w:szCs w:val="24"/>
        </w:rPr>
        <w:t xml:space="preserve">) умножаем на коэффициент для исчисления экологической составляющей кадастровой оценки земель лесного фонда соответствующей категории защитности (в нашем случае особо ценные лесные массивы - 15):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199750,86 сом/га х 15 = 2996262,9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валовой капитализированный доход от экологических функций лесов (О</w:t>
      </w:r>
      <w:r>
        <w:rPr>
          <w:rFonts w:ascii="Arial" w:cs="Arial" w:eastAsia="Arial" w:hAnsi="Arial"/>
          <w:sz w:val="24"/>
          <w:szCs w:val="24"/>
        </w:rPr>
        <w:t xml:space="preserve">эф</w:t>
      </w:r>
      <w:r>
        <w:rPr>
          <w:rFonts w:ascii="Arial" w:cs="Arial" w:eastAsia="Arial" w:hAnsi="Arial"/>
          <w:sz w:val="24"/>
          <w:szCs w:val="24"/>
        </w:rPr>
        <w:t xml:space="preserve">) - 998754,3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Находим капитализированные расходы лесного хозяйства по лесовосстановлению 1 га лесов. Для этого нормативы расходов на лесовосстановление (в приложении) умножаем на коэффициент для определения капитализированных расходов лесного хозяйства по лесовосстановлению: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16319,81 сом/га х 1,23 = 20073,37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капитализированные расходы лесного хозяйства по лесовосстановлению (З</w:t>
      </w:r>
      <w:r>
        <w:rPr>
          <w:rFonts w:ascii="Arial" w:cs="Arial" w:eastAsia="Arial" w:hAnsi="Arial"/>
          <w:sz w:val="24"/>
          <w:szCs w:val="24"/>
        </w:rPr>
        <w:t xml:space="preserve">лв</w:t>
      </w:r>
      <w:r>
        <w:rPr>
          <w:rFonts w:ascii="Arial" w:cs="Arial" w:eastAsia="Arial" w:hAnsi="Arial"/>
          <w:sz w:val="24"/>
          <w:szCs w:val="24"/>
        </w:rPr>
        <w:t xml:space="preserve">) - 20073,37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Находим кадастровую стоимость 1 га лесных земель (О</w:t>
      </w:r>
      <w:r>
        <w:rPr>
          <w:rFonts w:ascii="Arial" w:cs="Arial" w:eastAsia="Arial" w:hAnsi="Arial"/>
          <w:sz w:val="24"/>
          <w:szCs w:val="24"/>
        </w:rPr>
        <w:t xml:space="preserve">лз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(868482 сом/га + 2996262,9 сом/га) - 20073,37 сом/га = 3844671,53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кадастровая стоимость 1 га лесных земель (О</w:t>
      </w:r>
      <w:r>
        <w:rPr>
          <w:rFonts w:ascii="Arial" w:cs="Arial" w:eastAsia="Arial" w:hAnsi="Arial"/>
          <w:sz w:val="24"/>
          <w:szCs w:val="24"/>
        </w:rPr>
        <w:t xml:space="preserve">лз</w:t>
      </w:r>
      <w:r>
        <w:rPr>
          <w:rFonts w:ascii="Arial" w:cs="Arial" w:eastAsia="Arial" w:hAnsi="Arial"/>
          <w:sz w:val="24"/>
          <w:szCs w:val="24"/>
        </w:rPr>
        <w:t xml:space="preserve">) в данной страте - 3844671,53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фактической древесины находим путем умножения фактического запаса или среднего в страте на таксу средней деловой древесины: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/га х (1608,3 * 3) сом/м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723735,0 сом/га.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стоимость 1 га участка, находящегося в 3-й страте на момент оценки: 3844671,53 сом/га + 723735,0 сом/га = 4568406,53 сом/га.".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2023 года № 76 (3525)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t4wjz7e7qrehumwweqe" Type="http://schemas.openxmlformats.org/officeDocument/2006/relationships/hyperlink" Target="http://kodeks.duckdns.org/document/10#st_100" TargetMode="External"/><Relationship Id="rIdxqslrqfcvjbhorstrxnyu" Type="http://schemas.openxmlformats.org/officeDocument/2006/relationships/hyperlink" Target="http://kodeks.duckdns.org/document/10#st_101" TargetMode="External"/><Relationship Id="rIddkps5bq-urfmj821xlkzt" Type="http://schemas.openxmlformats.org/officeDocument/2006/relationships/hyperlink" Target="http://kodeks.duckdns.org/document/112301#st_13" TargetMode="External"/><Relationship Id="rIdujsfcuzzahbfhbkdezdrl" Type="http://schemas.openxmlformats.org/officeDocument/2006/relationships/hyperlink" Target="http://kodeks.duckdns.org/document/112301#st_17" TargetMode="External"/><Relationship Id="rIdd0omxyrip1jknx4c0ydf_" Type="http://schemas.openxmlformats.org/officeDocument/2006/relationships/hyperlink" Target="http://kodeks.duckdns.org/document/94655" TargetMode="External"/><Relationship Id="rId35y-f-yxsqu3fep7u4-lo" Type="http://schemas.openxmlformats.org/officeDocument/2006/relationships/hyperlink" Target="http://kodeks.duckdns.org/document/94658" TargetMode="External"/><Relationship Id="rIdjlfqkvlaut5lvgp7fm7mj" Type="http://schemas.openxmlformats.org/officeDocument/2006/relationships/hyperlink" Target="http://kodeks.duckdns.org/document/94658" TargetMode="External"/><Relationship Id="rIdyskoerenl4ihnnkgkslqa" Type="http://schemas.openxmlformats.org/officeDocument/2006/relationships/hyperlink" Target="http://kodeks.duckdns.org/document/94655" TargetMode="External"/><Relationship Id="rIdiqw6cp97_3quvkxjbkwlf" Type="http://schemas.openxmlformats.org/officeDocument/2006/relationships/hyperlink" Target="http://kodeks.duckdns.org/document/98051" TargetMode="External"/><Relationship Id="rIdft_zlywrgnimjzjelaze2" Type="http://schemas.openxmlformats.org/officeDocument/2006/relationships/hyperlink" Target="http://kodeks.duckdns.org/document/98052" TargetMode="External"/><Relationship Id="rIdvkxpk7jvwxqfsmdpzytdr" Type="http://schemas.openxmlformats.org/officeDocument/2006/relationships/hyperlink" Target="http://kodeks.duckdns.org/document/94658#g2" TargetMode="External"/><Relationship Id="rIdu9vjxxcehzmjs_frwr53n" Type="http://schemas.openxmlformats.org/officeDocument/2006/relationships/hyperlink" Target="http://kodeks.duckdns.org/document/94658#g4" TargetMode="External"/><Relationship Id="rIdkwgvusmm85r9yns_lyaz9" Type="http://schemas.openxmlformats.org/officeDocument/2006/relationships/hyperlink" Target="http://kodeks.duckdns.org/document/53145" TargetMode="External"/><Relationship Id="rIdxvy3r86ha-uy12iwmiwjx" Type="http://schemas.openxmlformats.org/officeDocument/2006/relationships/hyperlink" Target="http://kodeks.duckdns.org/document/5314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2026-09-23T11:04:15.990Z</dcterms:created>
  <dcterms:modified xsi:type="dcterms:W3CDTF">2026-09-23T11:04:15.990Z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