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rquqpjhdysddx61icof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9 октября 2023 года № 533)</w:t>
      </w:r>
    </w:p>
    <w:p>
      <w:pPr>
        <w:spacing w:after="400" w:before="400"/>
        <w:jc w:val="center"/>
      </w:pPr>
      <w:r>
        <w:rPr>
          <w:rFonts w:ascii="Arial" w:cs="Arial" w:eastAsia="Arial" w:hAnsi="Arial"/>
          <w:b/>
          <w:bCs/>
          <w:sz w:val="32"/>
          <w:szCs w:val="32"/>
        </w:rPr>
        <w:t xml:space="preserve">ПОЛОЖЕНИЕ
 о регулировании деятельности открытого акционерного общества "Государственный банк развития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соответствии с </w:t>
      </w:r>
      <w:hyperlink w:history="1" r:id="rIdghosc4jhvm3ewozcmlri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законодательством Кыргызской Республики и определяет основные экономические нормативы и требования к деятельности открытого акционерного общества "Государственный банк развития Кыргызской Республики" (далее - Банк).</w:t>
      </w:r>
    </w:p>
    <w:p>
      <w:pPr>
        <w:spacing w:after="60"/>
        <w:ind w:firstLine="567"/>
        <w:jc w:val="both"/>
      </w:pPr>
      <w:r>
        <w:rPr>
          <w:rFonts w:ascii="Arial" w:cs="Arial" w:eastAsia="Arial" w:hAnsi="Arial"/>
          <w:sz w:val="24"/>
          <w:szCs w:val="24"/>
        </w:rPr>
        <w:t xml:space="preserve">2. Целью настоящего Положения является обеспечение финансовой стабильности и управление рисками деятельности Банка.</w:t>
      </w:r>
    </w:p>
    <w:p>
      <w:pPr>
        <w:spacing w:after="60"/>
        <w:ind w:firstLine="567"/>
        <w:jc w:val="both"/>
      </w:pPr>
      <w:r>
        <w:rPr>
          <w:rFonts w:ascii="Arial" w:cs="Arial" w:eastAsia="Arial" w:hAnsi="Arial"/>
          <w:sz w:val="24"/>
          <w:szCs w:val="24"/>
        </w:rPr>
        <w:t xml:space="preserve">3. Настоящее Положение распространяется на все операции и деятельность Банка.</w:t>
      </w:r>
    </w:p>
    <w:p>
      <w:pPr>
        <w:spacing w:after="60"/>
        <w:ind w:firstLine="567"/>
        <w:jc w:val="both"/>
      </w:pPr>
      <w:r>
        <w:rPr>
          <w:rFonts w:ascii="Arial" w:cs="Arial" w:eastAsia="Arial" w:hAnsi="Arial"/>
          <w:sz w:val="24"/>
          <w:szCs w:val="24"/>
        </w:rPr>
        <w:t xml:space="preserve">4. Настоящее Положение служит основой для осуществления Банком своей финансовой, кредитной, инвестиционной и иной деятельности и определения Банком своей внутренней кредитной и инвестиционной политики, управления активами и пассивами, рисками и других внутренних нормативных документов Банка.</w:t>
      </w:r>
    </w:p>
    <w:p>
      <w:pPr>
        <w:spacing w:after="200" w:before="200"/>
        <w:jc w:val="center"/>
      </w:pPr>
      <w:r>
        <w:rPr>
          <w:rFonts w:ascii="Arial" w:cs="Arial" w:eastAsia="Arial" w:hAnsi="Arial"/>
          <w:b/>
          <w:bCs/>
          <w:sz w:val="24"/>
          <w:szCs w:val="24"/>
        </w:rPr>
        <w:t xml:space="preserve">Глава 2. Правовое положение Банка</w:t>
      </w:r>
    </w:p>
    <w:p>
      <w:pPr>
        <w:spacing w:after="60"/>
        <w:ind w:firstLine="567"/>
        <w:jc w:val="both"/>
      </w:pPr>
      <w:r>
        <w:rPr>
          <w:rFonts w:ascii="Arial" w:cs="Arial" w:eastAsia="Arial" w:hAnsi="Arial"/>
          <w:sz w:val="24"/>
          <w:szCs w:val="24"/>
        </w:rPr>
        <w:t xml:space="preserve">5. Банк является юридическим лицом, созданным в форме открытого акционерного общества.</w:t>
      </w:r>
    </w:p>
    <w:p>
      <w:pPr>
        <w:spacing w:after="60"/>
        <w:ind w:firstLine="567"/>
        <w:jc w:val="both"/>
      </w:pPr>
      <w:r>
        <w:rPr>
          <w:rFonts w:ascii="Arial" w:cs="Arial" w:eastAsia="Arial" w:hAnsi="Arial"/>
          <w:sz w:val="24"/>
          <w:szCs w:val="24"/>
        </w:rPr>
        <w:t xml:space="preserve">6. Банку не требуется получение лицензии на право осуществления банковских операций. При этом Банк имеет право на осуществление банковских и иных операций, предусмотренных </w:t>
      </w:r>
      <w:hyperlink w:history="1" r:id="rIdnepp1ryg52nra1w80hye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sz w:val="24"/>
          <w:szCs w:val="24"/>
        </w:rPr>
        <w:t xml:space="preserve">7. Банк самостоятельно организует и осуществляет свою деятельность в пределах полномочий, установленных </w:t>
      </w:r>
      <w:hyperlink w:history="1" r:id="rIdj9v8lfolvqpccjaxs06q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настоящим Положением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8. Запрещается вмешательство в любой форме государственных органов, их должностных лиц в деятельность Банка, за исключением случаев, прямо предусмотренных </w:t>
      </w:r>
      <w:hyperlink w:history="1" r:id="rId1zrag7auxrx5bgonqtzz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настоящим Положением и иными законодательными актами Кыргызской Республики.</w:t>
      </w:r>
    </w:p>
    <w:p>
      <w:pPr>
        <w:spacing w:after="60"/>
        <w:ind w:firstLine="567"/>
        <w:jc w:val="both"/>
      </w:pPr>
      <w:r>
        <w:rPr>
          <w:rFonts w:ascii="Arial" w:cs="Arial" w:eastAsia="Arial" w:hAnsi="Arial"/>
          <w:sz w:val="24"/>
          <w:szCs w:val="24"/>
        </w:rPr>
        <w:t xml:space="preserve">9. Учредительные документы, внутренние нормативные документы Банка должны соответствовать требованиям законов Кыргызской Республики "</w:t>
      </w:r>
      <w:hyperlink w:history="1" r:id="rIdmfvd-f1yuiezzvd81clyd">
        <w:r>
          <w:rPr>
            <w:rFonts w:ascii="Arial" w:cs="Arial" w:eastAsia="Arial" w:hAnsi="Arial"/>
            <w:color w:val="1D4ED8"/>
            <w:sz w:val="24"/>
            <w:szCs w:val="24"/>
            <w:u w:val="single"/>
          </w:rPr>
          <w:t xml:space="preserve">О Государственном банке развития Кыргызской Республики"</w:t>
        </w:r>
      </w:hyperlink>
      <w:r>
        <w:rPr>
          <w:rFonts w:ascii="Arial" w:cs="Arial" w:eastAsia="Arial" w:hAnsi="Arial"/>
          <w:sz w:val="24"/>
          <w:szCs w:val="24"/>
        </w:rPr>
        <w:t xml:space="preserve">, "</w:t>
      </w:r>
      <w:hyperlink w:history="1" r:id="rIdilzpcxyqtwyx2vogwxymn">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настоящего Положения.</w:t>
      </w:r>
    </w:p>
    <w:p>
      <w:pPr>
        <w:spacing w:after="200" w:before="200"/>
        <w:jc w:val="center"/>
      </w:pPr>
      <w:r>
        <w:rPr>
          <w:rFonts w:ascii="Arial" w:cs="Arial" w:eastAsia="Arial" w:hAnsi="Arial"/>
          <w:b/>
          <w:bCs/>
          <w:sz w:val="24"/>
          <w:szCs w:val="24"/>
        </w:rPr>
        <w:t xml:space="preserve">Глава 3. Требования к членам Совета директоров</w:t>
      </w:r>
    </w:p>
    <w:p>
      <w:pPr>
        <w:spacing w:after="60"/>
        <w:ind w:firstLine="567"/>
        <w:jc w:val="both"/>
      </w:pPr>
      <w:r>
        <w:rPr>
          <w:rFonts w:ascii="Arial" w:cs="Arial" w:eastAsia="Arial" w:hAnsi="Arial"/>
          <w:sz w:val="24"/>
          <w:szCs w:val="24"/>
        </w:rPr>
        <w:t xml:space="preserve">10. Кандидаты на должности председателя и членов Совета директоров, председателя комитета по аудиту, комитета по управлению рисками должны отвечать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 и стаж (опыт) работы не менее трех лет в течение последних десяти лет в области экономических, банковских, финансовых или юридических вопросов;</w:t>
      </w:r>
    </w:p>
    <w:p>
      <w:pPr>
        <w:spacing w:after="60"/>
        <w:ind w:firstLine="567"/>
        <w:jc w:val="both"/>
      </w:pPr>
      <w:r>
        <w:rPr>
          <w:rFonts w:ascii="Arial" w:cs="Arial" w:eastAsia="Arial" w:hAnsi="Arial"/>
          <w:sz w:val="24"/>
          <w:szCs w:val="24"/>
        </w:rPr>
        <w:t xml:space="preserve">2) обладать безупречной деловой репутацией;</w:t>
      </w:r>
    </w:p>
    <w:p>
      <w:pPr>
        <w:spacing w:after="60"/>
        <w:ind w:firstLine="567"/>
        <w:jc w:val="both"/>
      </w:pPr>
      <w:r>
        <w:rPr>
          <w:rFonts w:ascii="Arial" w:cs="Arial" w:eastAsia="Arial" w:hAnsi="Arial"/>
          <w:sz w:val="24"/>
          <w:szCs w:val="24"/>
        </w:rPr>
        <w:t xml:space="preserve">3) обладать знаниями в области корпоративного управления и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4) знать бизнес-план Банка и стратегию развития Банка.</w:t>
      </w:r>
    </w:p>
    <w:p>
      <w:pPr>
        <w:spacing w:after="60"/>
        <w:ind w:firstLine="567"/>
        <w:jc w:val="both"/>
      </w:pPr>
      <w:r>
        <w:rPr>
          <w:rFonts w:ascii="Arial" w:cs="Arial" w:eastAsia="Arial" w:hAnsi="Arial"/>
          <w:sz w:val="24"/>
          <w:szCs w:val="24"/>
        </w:rPr>
        <w:t xml:space="preserve">11. Кандидат на должность председателя комитета по аудиту в дополнение к требованиям, изложенным в пункте 10 настоящего Положения, должен:</w:t>
      </w:r>
    </w:p>
    <w:p>
      <w:pPr>
        <w:spacing w:after="60"/>
        <w:ind w:firstLine="567"/>
        <w:jc w:val="both"/>
      </w:pPr>
      <w:r>
        <w:rPr>
          <w:rFonts w:ascii="Arial" w:cs="Arial" w:eastAsia="Arial" w:hAnsi="Arial"/>
          <w:sz w:val="24"/>
          <w:szCs w:val="24"/>
        </w:rPr>
        <w:t xml:space="preserve">1) владеть знаниями международных стандартов бухгалтерского учета и финансовой отчетности и стандартов по аудиту, принятых в международной практике, и иметь сертификаты или иные документы, подтверждающие прохождение обучения по указанным направлениям, полученные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w:t>
      </w:r>
      <w:hyperlink w:history="1" r:id="rIdmmxarwgw-hwczyph3awb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12. Кандидат на должность председателя комитета по управлению рисками в дополнение к требованиям, изложенным в пункте 10 настоящего Положения, должен:</w:t>
      </w:r>
    </w:p>
    <w:p>
      <w:pPr>
        <w:spacing w:after="60"/>
        <w:ind w:firstLine="567"/>
        <w:jc w:val="both"/>
      </w:pPr>
      <w:r>
        <w:rPr>
          <w:rFonts w:ascii="Arial" w:cs="Arial" w:eastAsia="Arial" w:hAnsi="Arial"/>
          <w:sz w:val="24"/>
          <w:szCs w:val="24"/>
        </w:rPr>
        <w:t xml:space="preserve">1) владеть знаниями по управлению рисками и иметь сертификат или иной документ, подтверждающий прохождение обучения по указанному направлению, полученный в образовательных учреждениях, имеющих соответствующее разрешение/лицензию уполномоченного государственного органа;</w:t>
      </w:r>
    </w:p>
    <w:p>
      <w:pPr>
        <w:spacing w:after="60"/>
        <w:ind w:firstLine="567"/>
        <w:jc w:val="both"/>
      </w:pPr>
      <w:r>
        <w:rPr>
          <w:rFonts w:ascii="Arial" w:cs="Arial" w:eastAsia="Arial" w:hAnsi="Arial"/>
          <w:sz w:val="24"/>
          <w:szCs w:val="24"/>
        </w:rPr>
        <w:t xml:space="preserve">2) являться независимым членом Совета директоров в соответствии с </w:t>
      </w:r>
      <w:hyperlink w:history="1" r:id="rIdibpfwnljy1jxg2fdsg7a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13. Лицо считается не имеющим или утратившим безупречную деловую репутацию в следующих случаях:</w:t>
      </w:r>
    </w:p>
    <w:p>
      <w:pPr>
        <w:spacing w:after="60"/>
        <w:ind w:firstLine="567"/>
        <w:jc w:val="both"/>
      </w:pPr>
      <w:r>
        <w:rPr>
          <w:rFonts w:ascii="Arial" w:cs="Arial" w:eastAsia="Arial" w:hAnsi="Arial"/>
          <w:sz w:val="24"/>
          <w:szCs w:val="24"/>
        </w:rPr>
        <w:t xml:space="preserve">1) если лицо имеет неснятую и непогашенную судимость за совершение преступления в сфере экономики;</w:t>
      </w:r>
    </w:p>
    <w:p>
      <w:pPr>
        <w:spacing w:after="60"/>
        <w:ind w:firstLine="567"/>
        <w:jc w:val="both"/>
      </w:pPr>
      <w:r>
        <w:rPr>
          <w:rFonts w:ascii="Arial" w:cs="Arial" w:eastAsia="Arial" w:hAnsi="Arial"/>
          <w:sz w:val="24"/>
          <w:szCs w:val="24"/>
        </w:rPr>
        <w:t xml:space="preserve">2) если лицо само подвергнуто принудительной ликвидации, банкротству или если признано судом, что действия или бездействие лица в качестве значительного участника или члена органа управления юридического лица привели к принудительной ликвидации, включая банкротство;</w:t>
      </w:r>
    </w:p>
    <w:p>
      <w:pPr>
        <w:spacing w:after="60"/>
        <w:ind w:firstLine="567"/>
        <w:jc w:val="both"/>
      </w:pPr>
      <w:r>
        <w:rPr>
          <w:rFonts w:ascii="Arial" w:cs="Arial" w:eastAsia="Arial" w:hAnsi="Arial"/>
          <w:sz w:val="24"/>
          <w:szCs w:val="24"/>
        </w:rPr>
        <w:t xml:space="preserve">3) если лицо не вправе осуществлять деятельность в банковской, финансовой, аудиторской, страховой и инвестиционной сферах по решению суда либо не вправе осуществлять деятельность в банковской сфере по решению Национального банка Кыргызской Республики;</w:t>
      </w:r>
    </w:p>
    <w:p>
      <w:pPr>
        <w:spacing w:after="60"/>
        <w:ind w:firstLine="567"/>
        <w:jc w:val="both"/>
      </w:pPr>
      <w:r>
        <w:rPr>
          <w:rFonts w:ascii="Arial" w:cs="Arial" w:eastAsia="Arial" w:hAnsi="Arial"/>
          <w:sz w:val="24"/>
          <w:szCs w:val="24"/>
        </w:rPr>
        <w:t xml:space="preserve">4) если лицо утратило безупречную деловую репутацию в других сферах деятельности по решению суда;</w:t>
      </w:r>
    </w:p>
    <w:p>
      <w:pPr>
        <w:spacing w:after="60"/>
        <w:ind w:firstLine="567"/>
        <w:jc w:val="both"/>
      </w:pPr>
      <w:r>
        <w:rPr>
          <w:rFonts w:ascii="Arial" w:cs="Arial" w:eastAsia="Arial" w:hAnsi="Arial"/>
          <w:sz w:val="24"/>
          <w:szCs w:val="24"/>
        </w:rPr>
        <w:t xml:space="preserve">5) если лицо освобождено от занимаемой должности по решению Правления или комитета по надзору Национального банка Кыргызской Республики или иностранного компетентного органа банковского надзора в порядке применения мер воздействия к банку;</w:t>
      </w:r>
    </w:p>
    <w:p>
      <w:pPr>
        <w:spacing w:after="60"/>
        <w:ind w:firstLine="567"/>
        <w:jc w:val="both"/>
      </w:pPr>
      <w:r>
        <w:rPr>
          <w:rFonts w:ascii="Arial" w:cs="Arial" w:eastAsia="Arial" w:hAnsi="Arial"/>
          <w:sz w:val="24"/>
          <w:szCs w:val="24"/>
        </w:rPr>
        <w:t xml:space="preserve">6) при наличии у лица неисполненного судебного решения по уплате своих финансовых обязательств.</w:t>
      </w:r>
    </w:p>
    <w:p>
      <w:pPr>
        <w:spacing w:after="60"/>
        <w:ind w:firstLine="567"/>
        <w:jc w:val="both"/>
      </w:pPr>
      <w:r>
        <w:rPr>
          <w:rFonts w:ascii="Arial" w:cs="Arial" w:eastAsia="Arial" w:hAnsi="Arial"/>
          <w:sz w:val="24"/>
          <w:szCs w:val="24"/>
        </w:rPr>
        <w:t xml:space="preserve">Кабинет Министров Кыргызской Республики в целях установления фактов, которые могут влиять на деловую репутацию кандидатов на должности членов Совета директоров и Правления Банка, может направлять запросы в Национальный банк Кыргызской Республики и другие уполномоченные органы, при этом кандидатом предоставляется согласие на обработку его персональных данных и передачу таких сведений.</w:t>
      </w:r>
    </w:p>
    <w:p>
      <w:pPr>
        <w:spacing w:after="60"/>
        <w:ind w:firstLine="567"/>
        <w:jc w:val="both"/>
      </w:pPr>
      <w:r>
        <w:rPr>
          <w:rFonts w:ascii="Arial" w:cs="Arial" w:eastAsia="Arial" w:hAnsi="Arial"/>
          <w:sz w:val="24"/>
          <w:szCs w:val="24"/>
        </w:rPr>
        <w:t xml:space="preserve">14. В случае возникновения вакансии(й) в составе Совета директоров Банка, не влияющей(их) на кворум, члены Совета директоров в недостающем количестве избираются на следующем общем собрании акционеров Банка.</w:t>
      </w:r>
    </w:p>
    <w:p>
      <w:pPr>
        <w:spacing w:after="60"/>
        <w:ind w:firstLine="567"/>
        <w:jc w:val="both"/>
      </w:pPr>
      <w:r>
        <w:rPr>
          <w:rFonts w:ascii="Arial" w:cs="Arial" w:eastAsia="Arial" w:hAnsi="Arial"/>
          <w:sz w:val="24"/>
          <w:szCs w:val="24"/>
        </w:rPr>
        <w:t xml:space="preserve">15. В случае возникновения вакансии(й) независимых членов Совета директоров, не влияющей(их) на кворум, но вследствие которой Банком нарушается требование о наличии в составе одной трети независимых членов Совета директоров, Совет директоров Банка в течение 10 (десять) рабочих дней с даты появления вакансии(й) должен принять решение о созыве внеочередного общего собрания акционеров, на котором должны быть избраны независимые члены Совета директоров в недостающем количестве.</w:t>
      </w:r>
    </w:p>
    <w:p>
      <w:pPr>
        <w:spacing w:after="60"/>
        <w:ind w:firstLine="567"/>
        <w:jc w:val="both"/>
      </w:pPr>
      <w:r>
        <w:rPr>
          <w:rFonts w:ascii="Arial" w:cs="Arial" w:eastAsia="Arial" w:hAnsi="Arial"/>
          <w:sz w:val="24"/>
          <w:szCs w:val="24"/>
        </w:rPr>
        <w:t xml:space="preserve">16. В случае если в результате досрочного прекращения полномочий членов Совета директоров его состав снизится до количества, менее установленного кворума, Правление Банка в течение пяти дней с даты прекращения полномочий членов Совета директоров обязано принять решение о созыве внеочередного общего собрания акционеров Банка для избрания нового состава Совета директоров.</w:t>
      </w:r>
    </w:p>
    <w:p>
      <w:pPr>
        <w:spacing w:after="60"/>
        <w:ind w:firstLine="567"/>
        <w:jc w:val="both"/>
      </w:pPr>
      <w:r>
        <w:rPr>
          <w:rFonts w:ascii="Arial" w:cs="Arial" w:eastAsia="Arial" w:hAnsi="Arial"/>
          <w:sz w:val="24"/>
          <w:szCs w:val="24"/>
        </w:rPr>
        <w:t xml:space="preserve">17. Не менее одной трети состава Совета директоров Банка должны составлять независимые члены Совета директоров.</w:t>
      </w:r>
    </w:p>
    <w:p>
      <w:pPr>
        <w:spacing w:after="60"/>
        <w:ind w:firstLine="567"/>
        <w:jc w:val="both"/>
      </w:pPr>
      <w:r>
        <w:rPr>
          <w:rFonts w:ascii="Arial" w:cs="Arial" w:eastAsia="Arial" w:hAnsi="Arial"/>
          <w:sz w:val="24"/>
          <w:szCs w:val="24"/>
        </w:rPr>
        <w:t xml:space="preserve">18. Критерии независимости членов Совета директоров определяются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19. Член Совета директоров подлежит освобождению от должности в случае:</w:t>
      </w:r>
    </w:p>
    <w:p>
      <w:pPr>
        <w:spacing w:after="60"/>
        <w:ind w:firstLine="567"/>
        <w:jc w:val="both"/>
      </w:pPr>
      <w:r>
        <w:rPr>
          <w:rFonts w:ascii="Arial" w:cs="Arial" w:eastAsia="Arial" w:hAnsi="Arial"/>
          <w:sz w:val="24"/>
          <w:szCs w:val="24"/>
        </w:rPr>
        <w:t xml:space="preserve">1) нарушения требований законодательства Кыргызской Республики, повлекшее значительный ущерб для Банка;</w:t>
      </w:r>
    </w:p>
    <w:p>
      <w:pPr>
        <w:spacing w:after="60"/>
        <w:ind w:firstLine="567"/>
        <w:jc w:val="both"/>
      </w:pPr>
      <w:r>
        <w:rPr>
          <w:rFonts w:ascii="Arial" w:cs="Arial" w:eastAsia="Arial" w:hAnsi="Arial"/>
          <w:sz w:val="24"/>
          <w:szCs w:val="24"/>
        </w:rPr>
        <w:t xml:space="preserve">2) утраты безупречной деловой репутации;</w:t>
      </w:r>
    </w:p>
    <w:p>
      <w:pPr>
        <w:spacing w:after="60"/>
        <w:ind w:firstLine="567"/>
        <w:jc w:val="both"/>
      </w:pPr>
      <w:r>
        <w:rPr>
          <w:rFonts w:ascii="Arial" w:cs="Arial" w:eastAsia="Arial" w:hAnsi="Arial"/>
          <w:sz w:val="24"/>
          <w:szCs w:val="24"/>
        </w:rPr>
        <w:t xml:space="preserve">3) выявления факта сокрытия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4) выявления факта сокрытия информации, которая свидетельствует о его несоответствии квалификационным требованиям, требованиям к независимости;</w:t>
      </w:r>
    </w:p>
    <w:p>
      <w:pPr>
        <w:spacing w:after="60"/>
        <w:ind w:firstLine="567"/>
        <w:jc w:val="both"/>
      </w:pPr>
      <w:r>
        <w:rPr>
          <w:rFonts w:ascii="Arial" w:cs="Arial" w:eastAsia="Arial" w:hAnsi="Arial"/>
          <w:sz w:val="24"/>
          <w:szCs w:val="24"/>
        </w:rPr>
        <w:t xml:space="preserve">5) невозможности исполнения служебных обязанностей в связи с состоянием здоровья, подтвержденным медицинским заключением;</w:t>
      </w:r>
    </w:p>
    <w:p>
      <w:pPr>
        <w:spacing w:after="60"/>
        <w:ind w:firstLine="567"/>
        <w:jc w:val="both"/>
      </w:pPr>
      <w:r>
        <w:rPr>
          <w:rFonts w:ascii="Arial" w:cs="Arial" w:eastAsia="Arial" w:hAnsi="Arial"/>
          <w:sz w:val="24"/>
          <w:szCs w:val="24"/>
        </w:rPr>
        <w:t xml:space="preserve">6) в связи со смертью либо вступлением в законную силу решения суда об объявлении безвестно отсутствующим или умершим;</w:t>
      </w:r>
    </w:p>
    <w:p>
      <w:pPr>
        <w:spacing w:after="60"/>
        <w:ind w:firstLine="567"/>
        <w:jc w:val="both"/>
      </w:pPr>
      <w:r>
        <w:rPr>
          <w:rFonts w:ascii="Arial" w:cs="Arial" w:eastAsia="Arial" w:hAnsi="Arial"/>
          <w:sz w:val="24"/>
          <w:szCs w:val="24"/>
        </w:rPr>
        <w:t xml:space="preserve">7) подачи личного заявления об освобождении от должности.</w:t>
      </w:r>
    </w:p>
    <w:p>
      <w:pPr>
        <w:spacing w:after="200" w:before="200"/>
        <w:jc w:val="center"/>
      </w:pPr>
      <w:r>
        <w:rPr>
          <w:rFonts w:ascii="Arial" w:cs="Arial" w:eastAsia="Arial" w:hAnsi="Arial"/>
          <w:b/>
          <w:bCs/>
          <w:sz w:val="24"/>
          <w:szCs w:val="24"/>
        </w:rPr>
        <w:t xml:space="preserve">Глава 4. Требования к членам Правления</w:t>
      </w:r>
    </w:p>
    <w:p>
      <w:pPr>
        <w:spacing w:after="60"/>
        <w:ind w:firstLine="567"/>
        <w:jc w:val="both"/>
      </w:pPr>
      <w:r>
        <w:rPr>
          <w:rFonts w:ascii="Arial" w:cs="Arial" w:eastAsia="Arial" w:hAnsi="Arial"/>
          <w:sz w:val="24"/>
          <w:szCs w:val="24"/>
        </w:rPr>
        <w:t xml:space="preserve">20. Председатель и члены Правления Банка должны соответствовать следующим минимальным требованиям:</w:t>
      </w:r>
    </w:p>
    <w:p>
      <w:pPr>
        <w:spacing w:after="60"/>
        <w:ind w:firstLine="567"/>
        <w:jc w:val="both"/>
      </w:pPr>
      <w:r>
        <w:rPr>
          <w:rFonts w:ascii="Arial" w:cs="Arial" w:eastAsia="Arial" w:hAnsi="Arial"/>
          <w:sz w:val="24"/>
          <w:szCs w:val="24"/>
        </w:rPr>
        <w:t xml:space="preserve">1) иметь диплом о высшем образовании;</w:t>
      </w:r>
    </w:p>
    <w:p>
      <w:pPr>
        <w:spacing w:after="60"/>
        <w:ind w:firstLine="567"/>
        <w:jc w:val="both"/>
      </w:pPr>
      <w:r>
        <w:rPr>
          <w:rFonts w:ascii="Arial" w:cs="Arial" w:eastAsia="Arial" w:hAnsi="Arial"/>
          <w:sz w:val="24"/>
          <w:szCs w:val="24"/>
        </w:rPr>
        <w:t xml:space="preserve">2) иметь следующий стаж (опыт) работы в течение последних семи лет для кандидата на должность:</w:t>
      </w:r>
    </w:p>
    <w:p>
      <w:pPr>
        <w:spacing w:after="60"/>
        <w:ind w:firstLine="567"/>
        <w:jc w:val="both"/>
      </w:pPr>
      <w:r>
        <w:rPr>
          <w:rFonts w:ascii="Arial" w:cs="Arial" w:eastAsia="Arial" w:hAnsi="Arial"/>
          <w:sz w:val="24"/>
          <w:szCs w:val="24"/>
        </w:rPr>
        <w:t xml:space="preserve">а) председателя Правления Банка - не менее пяти лет в банковской и/или финансовой системе, в том числе на руководящих должностях - не менее двух лет;</w:t>
      </w:r>
    </w:p>
    <w:p>
      <w:pPr>
        <w:spacing w:after="60"/>
        <w:ind w:firstLine="567"/>
        <w:jc w:val="both"/>
      </w:pPr>
      <w:r>
        <w:rPr>
          <w:rFonts w:ascii="Arial" w:cs="Arial" w:eastAsia="Arial" w:hAnsi="Arial"/>
          <w:sz w:val="24"/>
          <w:szCs w:val="24"/>
        </w:rPr>
        <w:t xml:space="preserve">б) заместителей председателя, членов Правления - не менее трех лет в банковской и/или финансовой системе;</w:t>
      </w:r>
    </w:p>
    <w:p>
      <w:pPr>
        <w:spacing w:after="60"/>
        <w:ind w:firstLine="567"/>
        <w:jc w:val="both"/>
      </w:pPr>
      <w:r>
        <w:rPr>
          <w:rFonts w:ascii="Arial" w:cs="Arial" w:eastAsia="Arial" w:hAnsi="Arial"/>
          <w:sz w:val="24"/>
          <w:szCs w:val="24"/>
        </w:rPr>
        <w:t xml:space="preserve">3) иметь знания в области банковского законодательства Кыргызской Республики в области управления банковскими рисками и в той сфере, где они предполагают работать;</w:t>
      </w:r>
    </w:p>
    <w:p>
      <w:pPr>
        <w:spacing w:after="60"/>
        <w:ind w:firstLine="567"/>
        <w:jc w:val="both"/>
      </w:pPr>
      <w:r>
        <w:rPr>
          <w:rFonts w:ascii="Arial" w:cs="Arial" w:eastAsia="Arial" w:hAnsi="Arial"/>
          <w:sz w:val="24"/>
          <w:szCs w:val="24"/>
        </w:rPr>
        <w:t xml:space="preserve">4) обладать безупречной деловой репутацией.</w:t>
      </w:r>
    </w:p>
    <w:p>
      <w:pPr>
        <w:spacing w:after="60"/>
        <w:ind w:firstLine="567"/>
        <w:jc w:val="both"/>
      </w:pPr>
      <w:r>
        <w:rPr>
          <w:rFonts w:ascii="Arial" w:cs="Arial" w:eastAsia="Arial" w:hAnsi="Arial"/>
          <w:sz w:val="24"/>
          <w:szCs w:val="24"/>
        </w:rPr>
        <w:t xml:space="preserve">21. Для целей настоящего Положения под руководящей должностью подразумевается должность не ниже руководителя структурного подразделения финансово-кредитной организации и/или компании, чья деятельность связана с банковской/финансовой деятельностью в соответствии с банковским законодательством Кыргызской Республики, а также должности не ниже руководителя проектов в финансовой системе. При этом в стаж работы не включается работа в подразделениях вышеуказанных организаций/компаний, связанных с регулированием вопросов безопасности данной организации/компании и осуществлением хозяйственной деятельности.</w:t>
      </w:r>
    </w:p>
    <w:p>
      <w:pPr>
        <w:spacing w:after="60"/>
        <w:ind w:firstLine="567"/>
        <w:jc w:val="both"/>
      </w:pPr>
      <w:r>
        <w:rPr>
          <w:rFonts w:ascii="Arial" w:cs="Arial" w:eastAsia="Arial" w:hAnsi="Arial"/>
          <w:sz w:val="24"/>
          <w:szCs w:val="24"/>
        </w:rPr>
        <w:t xml:space="preserve">22. Член Правления подлежит освобождению от должности в случае:</w:t>
      </w:r>
    </w:p>
    <w:p>
      <w:pPr>
        <w:spacing w:after="60"/>
        <w:ind w:firstLine="567"/>
        <w:jc w:val="both"/>
      </w:pPr>
      <w:r>
        <w:rPr>
          <w:rFonts w:ascii="Arial" w:cs="Arial" w:eastAsia="Arial" w:hAnsi="Arial"/>
          <w:sz w:val="24"/>
          <w:szCs w:val="24"/>
        </w:rPr>
        <w:t xml:space="preserve">1) нарушения требований законодательства Кыргызской Республики, повлекшее значительный ущерб для Банка;</w:t>
      </w:r>
    </w:p>
    <w:p>
      <w:pPr>
        <w:spacing w:after="60"/>
        <w:ind w:firstLine="567"/>
        <w:jc w:val="both"/>
      </w:pPr>
      <w:r>
        <w:rPr>
          <w:rFonts w:ascii="Arial" w:cs="Arial" w:eastAsia="Arial" w:hAnsi="Arial"/>
          <w:sz w:val="24"/>
          <w:szCs w:val="24"/>
        </w:rPr>
        <w:t xml:space="preserve">2) утраты безупречной деловой репутации;</w:t>
      </w:r>
    </w:p>
    <w:p>
      <w:pPr>
        <w:spacing w:after="60"/>
        <w:ind w:firstLine="567"/>
        <w:jc w:val="both"/>
      </w:pPr>
      <w:r>
        <w:rPr>
          <w:rFonts w:ascii="Arial" w:cs="Arial" w:eastAsia="Arial" w:hAnsi="Arial"/>
          <w:sz w:val="24"/>
          <w:szCs w:val="24"/>
        </w:rPr>
        <w:t xml:space="preserve">3) выявления факта сокрытия конфликта интересов или заинтересованности при заключении сделок Банка;</w:t>
      </w:r>
    </w:p>
    <w:p>
      <w:pPr>
        <w:spacing w:after="60"/>
        <w:ind w:firstLine="567"/>
        <w:jc w:val="both"/>
      </w:pPr>
      <w:r>
        <w:rPr>
          <w:rFonts w:ascii="Arial" w:cs="Arial" w:eastAsia="Arial" w:hAnsi="Arial"/>
          <w:sz w:val="24"/>
          <w:szCs w:val="24"/>
        </w:rPr>
        <w:t xml:space="preserve">4) выявления факта сокрытия информации, которая свидетельствует о его несоответствии квалификационным требованиям;</w:t>
      </w:r>
    </w:p>
    <w:p>
      <w:pPr>
        <w:spacing w:after="60"/>
        <w:ind w:firstLine="567"/>
        <w:jc w:val="both"/>
      </w:pPr>
      <w:r>
        <w:rPr>
          <w:rFonts w:ascii="Arial" w:cs="Arial" w:eastAsia="Arial" w:hAnsi="Arial"/>
          <w:sz w:val="24"/>
          <w:szCs w:val="24"/>
        </w:rPr>
        <w:t xml:space="preserve">5) невозможности исполнения служебных обязанностей в связи с состоянием здоровья, подтвержденным медицинским заключением;</w:t>
      </w:r>
    </w:p>
    <w:p>
      <w:pPr>
        <w:spacing w:after="60"/>
        <w:ind w:firstLine="567"/>
        <w:jc w:val="both"/>
      </w:pPr>
      <w:r>
        <w:rPr>
          <w:rFonts w:ascii="Arial" w:cs="Arial" w:eastAsia="Arial" w:hAnsi="Arial"/>
          <w:sz w:val="24"/>
          <w:szCs w:val="24"/>
        </w:rPr>
        <w:t xml:space="preserve">6) в связи со смертью либо вступлением в законную силу решения суда об объявлении безвестно отсутствующим или умершим;</w:t>
      </w:r>
    </w:p>
    <w:p>
      <w:pPr>
        <w:spacing w:after="60"/>
        <w:ind w:firstLine="567"/>
        <w:jc w:val="both"/>
      </w:pPr>
      <w:r>
        <w:rPr>
          <w:rFonts w:ascii="Arial" w:cs="Arial" w:eastAsia="Arial" w:hAnsi="Arial"/>
          <w:sz w:val="24"/>
          <w:szCs w:val="24"/>
        </w:rPr>
        <w:t xml:space="preserve">7) в иных случаях, предусмотренных трудовым законодательством Кыргызской Республики.</w:t>
      </w:r>
    </w:p>
    <w:p>
      <w:pPr>
        <w:spacing w:after="200" w:before="200"/>
        <w:jc w:val="center"/>
      </w:pPr>
      <w:r>
        <w:rPr>
          <w:rFonts w:ascii="Arial" w:cs="Arial" w:eastAsia="Arial" w:hAnsi="Arial"/>
          <w:b/>
          <w:bCs/>
          <w:sz w:val="24"/>
          <w:szCs w:val="24"/>
        </w:rPr>
        <w:t xml:space="preserve">Глава 5. Финансирование проектов</w:t>
      </w:r>
    </w:p>
    <w:p>
      <w:pPr>
        <w:spacing w:after="60"/>
        <w:ind w:firstLine="567"/>
        <w:jc w:val="both"/>
      </w:pPr>
      <w:r>
        <w:rPr>
          <w:rFonts w:ascii="Arial" w:cs="Arial" w:eastAsia="Arial" w:hAnsi="Arial"/>
          <w:sz w:val="24"/>
          <w:szCs w:val="24"/>
        </w:rPr>
        <w:t xml:space="preserve">23. Банк финансирует проекты, отвечающие требованиям, установленным Советом директоров Банка.</w:t>
      </w:r>
    </w:p>
    <w:p>
      <w:pPr>
        <w:spacing w:after="60"/>
        <w:ind w:firstLine="567"/>
        <w:jc w:val="both"/>
      </w:pPr>
      <w:r>
        <w:rPr>
          <w:rFonts w:ascii="Arial" w:cs="Arial" w:eastAsia="Arial" w:hAnsi="Arial"/>
          <w:sz w:val="24"/>
          <w:szCs w:val="24"/>
        </w:rPr>
        <w:t xml:space="preserve">24. Отбор и финансирование проектов, включая участие (в капитале) в деятельности юридических лиц осуществляется в соответствии с настоящим Положением и внутренними нормативными документами Банка.</w:t>
      </w:r>
    </w:p>
    <w:p>
      <w:pPr>
        <w:spacing w:after="60"/>
        <w:ind w:firstLine="567"/>
        <w:jc w:val="both"/>
      </w:pPr>
      <w:r>
        <w:rPr>
          <w:rFonts w:ascii="Arial" w:cs="Arial" w:eastAsia="Arial" w:hAnsi="Arial"/>
          <w:sz w:val="24"/>
          <w:szCs w:val="24"/>
        </w:rPr>
        <w:t xml:space="preserve">25. Кредитная деятельность Банка осуществляется с соблюдением принципа возвратности, платности, срочности, целевой направленности и обеспеченности.</w:t>
      </w:r>
    </w:p>
    <w:p>
      <w:pPr>
        <w:spacing w:after="60"/>
        <w:ind w:firstLine="567"/>
        <w:jc w:val="both"/>
      </w:pPr>
      <w:r>
        <w:rPr>
          <w:rFonts w:ascii="Arial" w:cs="Arial" w:eastAsia="Arial" w:hAnsi="Arial"/>
          <w:sz w:val="24"/>
          <w:szCs w:val="24"/>
        </w:rPr>
        <w:t xml:space="preserve">26. Финансируемый проект должен быть осуществим в существующих экономических и правовых условиях Кыргызской Республики.</w:t>
      </w:r>
    </w:p>
    <w:p>
      <w:pPr>
        <w:spacing w:after="60"/>
        <w:ind w:firstLine="567"/>
        <w:jc w:val="both"/>
      </w:pPr>
      <w:r>
        <w:rPr>
          <w:rFonts w:ascii="Arial" w:cs="Arial" w:eastAsia="Arial" w:hAnsi="Arial"/>
          <w:sz w:val="24"/>
          <w:szCs w:val="24"/>
        </w:rPr>
        <w:t xml:space="preserve">27. Финансируемый проект должен быть рентабельным и позволить клиенту возвратить кредит и проценты по нему в установленные договором сроки.</w:t>
      </w:r>
    </w:p>
    <w:p>
      <w:pPr>
        <w:spacing w:after="60"/>
        <w:ind w:firstLine="567"/>
        <w:jc w:val="both"/>
      </w:pPr>
      <w:r>
        <w:rPr>
          <w:rFonts w:ascii="Arial" w:cs="Arial" w:eastAsia="Arial" w:hAnsi="Arial"/>
          <w:sz w:val="24"/>
          <w:szCs w:val="24"/>
        </w:rPr>
        <w:t xml:space="preserve">28. Банку запрещается:</w:t>
      </w:r>
    </w:p>
    <w:p>
      <w:pPr>
        <w:spacing w:after="60"/>
        <w:ind w:firstLine="567"/>
        <w:jc w:val="both"/>
      </w:pPr>
      <w:r>
        <w:rPr>
          <w:rFonts w:ascii="Arial" w:cs="Arial" w:eastAsia="Arial" w:hAnsi="Arial"/>
          <w:sz w:val="24"/>
          <w:szCs w:val="24"/>
        </w:rPr>
        <w:t xml:space="preserve">1) выдавать кредиты физическим и юридическим лицам, кроме банков-участников, организаций-лизингодателей и юридических лиц, реализующих отобранные для финансирования Банком проекты;</w:t>
      </w:r>
    </w:p>
    <w:p>
      <w:pPr>
        <w:spacing w:after="60"/>
        <w:ind w:firstLine="567"/>
        <w:jc w:val="both"/>
      </w:pPr>
      <w:r>
        <w:rPr>
          <w:rFonts w:ascii="Arial" w:cs="Arial" w:eastAsia="Arial" w:hAnsi="Arial"/>
          <w:sz w:val="24"/>
          <w:szCs w:val="24"/>
        </w:rPr>
        <w:t xml:space="preserve">2) привлекать депозиты, открывать счета физическим лицам;</w:t>
      </w:r>
    </w:p>
    <w:p>
      <w:pPr>
        <w:spacing w:after="60"/>
        <w:ind w:firstLine="567"/>
        <w:jc w:val="both"/>
      </w:pPr>
      <w:r>
        <w:rPr>
          <w:rFonts w:ascii="Arial" w:cs="Arial" w:eastAsia="Arial" w:hAnsi="Arial"/>
          <w:sz w:val="24"/>
          <w:szCs w:val="24"/>
        </w:rPr>
        <w:t xml:space="preserve">3) предоставлять займы без обеспечения их возврата;</w:t>
      </w:r>
    </w:p>
    <w:p>
      <w:pPr>
        <w:spacing w:after="60"/>
        <w:ind w:firstLine="567"/>
        <w:jc w:val="both"/>
      </w:pPr>
      <w:r>
        <w:rPr>
          <w:rFonts w:ascii="Arial" w:cs="Arial" w:eastAsia="Arial" w:hAnsi="Arial"/>
          <w:sz w:val="24"/>
          <w:szCs w:val="24"/>
        </w:rPr>
        <w:t xml:space="preserve">4) осуществлять дополнительное внешнее и внутреннее заимствование при наличии просроченных (более одного года) обязательств по ранее привлеченным им займам;</w:t>
      </w:r>
    </w:p>
    <w:p>
      <w:pPr>
        <w:spacing w:after="60"/>
        <w:ind w:firstLine="567"/>
        <w:jc w:val="both"/>
      </w:pPr>
      <w:r>
        <w:rPr>
          <w:rFonts w:ascii="Arial" w:cs="Arial" w:eastAsia="Arial" w:hAnsi="Arial"/>
          <w:sz w:val="24"/>
          <w:szCs w:val="24"/>
        </w:rPr>
        <w:t xml:space="preserve">5) предоставлять кредиты Кабинету Министров Кыргызской Республики, другим государственным органам и органам местного самоуправления;</w:t>
      </w:r>
    </w:p>
    <w:p>
      <w:pPr>
        <w:spacing w:after="60"/>
        <w:ind w:firstLine="567"/>
        <w:jc w:val="both"/>
      </w:pPr>
      <w:r>
        <w:rPr>
          <w:rFonts w:ascii="Arial" w:cs="Arial" w:eastAsia="Arial" w:hAnsi="Arial"/>
          <w:sz w:val="24"/>
          <w:szCs w:val="24"/>
        </w:rPr>
        <w:t xml:space="preserve">6) предоставлять финансовую помощь в любой форме органам государственной власти, органам местного самоуправления, а также хозяйствующим субъектам;</w:t>
      </w:r>
    </w:p>
    <w:p>
      <w:pPr>
        <w:spacing w:after="60"/>
        <w:ind w:firstLine="567"/>
        <w:jc w:val="both"/>
      </w:pPr>
      <w:r>
        <w:rPr>
          <w:rFonts w:ascii="Arial" w:cs="Arial" w:eastAsia="Arial" w:hAnsi="Arial"/>
          <w:sz w:val="24"/>
          <w:szCs w:val="24"/>
        </w:rPr>
        <w:t xml:space="preserve">7) привлекать финансирование из государственных источников, кроме финансирования в соответствии с законом о республиканском бюджете.</w:t>
      </w:r>
    </w:p>
    <w:p>
      <w:pPr>
        <w:spacing w:after="60"/>
        <w:ind w:firstLine="567"/>
        <w:jc w:val="both"/>
      </w:pPr>
      <w:r>
        <w:rPr>
          <w:rFonts w:ascii="Arial" w:cs="Arial" w:eastAsia="Arial" w:hAnsi="Arial"/>
          <w:sz w:val="24"/>
          <w:szCs w:val="24"/>
        </w:rPr>
        <w:t xml:space="preserve">29. Максимальный объем кредитов, выдаваемых одному клиенту или группе связанных клиентов, не должен превышать нормативов установленных настоящим Положением.</w:t>
      </w:r>
    </w:p>
    <w:p>
      <w:pPr>
        <w:spacing w:after="60"/>
        <w:ind w:firstLine="567"/>
        <w:jc w:val="both"/>
      </w:pPr>
      <w:r>
        <w:rPr>
          <w:rFonts w:ascii="Arial" w:cs="Arial" w:eastAsia="Arial" w:hAnsi="Arial"/>
          <w:sz w:val="24"/>
          <w:szCs w:val="24"/>
        </w:rPr>
        <w:t xml:space="preserve">30. Участие в деятельности (капитале) юридических лиц, реализующих проекты осуществляется в соответствии с внутренними нормативными документами Банка.</w:t>
      </w:r>
    </w:p>
    <w:p>
      <w:pPr>
        <w:spacing w:after="60"/>
        <w:ind w:firstLine="567"/>
        <w:jc w:val="both"/>
      </w:pPr>
      <w:r>
        <w:rPr>
          <w:rFonts w:ascii="Arial" w:cs="Arial" w:eastAsia="Arial" w:hAnsi="Arial"/>
          <w:sz w:val="24"/>
          <w:szCs w:val="24"/>
        </w:rPr>
        <w:t xml:space="preserve">31. Совокупный (общий) размер инвестиций по участию в деятельности (капитале) юридических лиц не должен превышать норматива, установленного настоящим Положением.</w:t>
      </w:r>
    </w:p>
    <w:p>
      <w:pPr>
        <w:spacing w:after="60"/>
        <w:ind w:firstLine="567"/>
        <w:jc w:val="both"/>
      </w:pPr>
      <w:r>
        <w:rPr>
          <w:rFonts w:ascii="Arial" w:cs="Arial" w:eastAsia="Arial" w:hAnsi="Arial"/>
          <w:sz w:val="24"/>
          <w:szCs w:val="24"/>
        </w:rPr>
        <w:t xml:space="preserve">32. Банк вправе создать и/или приобрести дочернюю или зависимую компанию при условии, что деятельность Банка является безубыточной на момент принятия решения о создании или приобретении дочерней или зависимой компании, с учетом экономических нормативов и требований, установленных настоящим Положением. Решение о создании и/или приобретении дочерней или зависимой компании, а также продаже/ликвидации дочерней или зависимой компании относится к исключительной компетенции общего собрания акционеров. Правление и Совет директоров Банка при поручении Акционером Банка приобрести или создать дочернюю/зависимую компанию, должны подготовить инвестиционный проект по такому вопросу, в котором должны быть отражены риски создания или приобретения дочерней/зависимой компании и предварительную концепцию развития такой компании. В случае приобретения дочерней/зависимой компании, инвестиционный проект должен содержать также общую информацию о компании и результатах ее деятельности. Указанная информация предоставляется Акционеру перед проведением заседания общего собрания акционеров.</w:t>
      </w:r>
    </w:p>
    <w:p>
      <w:pPr>
        <w:spacing w:after="60"/>
        <w:ind w:firstLine="567"/>
        <w:jc w:val="both"/>
      </w:pPr>
      <w:r>
        <w:rPr>
          <w:rFonts w:ascii="Arial" w:cs="Arial" w:eastAsia="Arial" w:hAnsi="Arial"/>
          <w:sz w:val="24"/>
          <w:szCs w:val="24"/>
        </w:rPr>
        <w:t xml:space="preserve">33. Дочерние и зависимые компании Банка могут осуществлять любую незапрещенную законодательством Кыргызской Республики деятельность.</w:t>
      </w:r>
    </w:p>
    <w:p>
      <w:pPr>
        <w:spacing w:after="200" w:before="200"/>
        <w:jc w:val="center"/>
      </w:pPr>
      <w:r>
        <w:rPr>
          <w:rFonts w:ascii="Arial" w:cs="Arial" w:eastAsia="Arial" w:hAnsi="Arial"/>
          <w:b/>
          <w:bCs/>
          <w:sz w:val="24"/>
          <w:szCs w:val="24"/>
        </w:rPr>
        <w:t xml:space="preserve">Глава 6. Экономические нормативы и требования</w:t>
      </w:r>
    </w:p>
    <w:p>
      <w:pPr>
        <w:spacing w:after="60"/>
        <w:ind w:firstLine="567"/>
        <w:jc w:val="both"/>
      </w:pPr>
      <w:r>
        <w:rPr>
          <w:rFonts w:ascii="Arial" w:cs="Arial" w:eastAsia="Arial" w:hAnsi="Arial"/>
          <w:sz w:val="24"/>
          <w:szCs w:val="24"/>
        </w:rPr>
        <w:t xml:space="preserve">34. В целях обеспечения стабильной и устойчивой деятельности Банка, Банку необходимо соблюдать экономические нормативы и требования, установленные настоящим Положением.</w:t>
      </w:r>
    </w:p>
    <w:p>
      <w:pPr>
        <w:spacing w:after="60"/>
        <w:ind w:firstLine="567"/>
        <w:jc w:val="both"/>
      </w:pPr>
      <w:r>
        <w:rPr>
          <w:rFonts w:ascii="Arial" w:cs="Arial" w:eastAsia="Arial" w:hAnsi="Arial"/>
          <w:sz w:val="24"/>
          <w:szCs w:val="24"/>
        </w:rPr>
        <w:t xml:space="preserve">35. Информация о соблюдении экономических нормативов направляется Совету директоров и Акционеру в порядке, определенном настоящим Положением.</w:t>
      </w:r>
    </w:p>
    <w:p>
      <w:pPr>
        <w:spacing w:after="60"/>
        <w:ind w:firstLine="567"/>
        <w:jc w:val="both"/>
      </w:pPr>
      <w:r>
        <w:rPr>
          <w:rFonts w:ascii="Arial" w:cs="Arial" w:eastAsia="Arial" w:hAnsi="Arial"/>
          <w:sz w:val="24"/>
          <w:szCs w:val="24"/>
        </w:rPr>
        <w:t xml:space="preserve">36. В целях выполнения экономических нормативов и требований, указанных в настоящем Положении, и снижения рисков Банку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настоящим Положением.</w:t>
      </w:r>
    </w:p>
    <w:p>
      <w:pPr>
        <w:spacing w:after="60"/>
        <w:ind w:firstLine="567"/>
        <w:jc w:val="both"/>
      </w:pPr>
      <w:r>
        <w:rPr>
          <w:rFonts w:ascii="Arial" w:cs="Arial" w:eastAsia="Arial" w:hAnsi="Arial"/>
          <w:sz w:val="24"/>
          <w:szCs w:val="24"/>
        </w:rPr>
        <w:t xml:space="preserve">37. Также Банк должен установить внутренние лимиты по риску концентрации при осуществлении кредитования по отраслям экономики, заемщикам, областям и т.д.</w:t>
      </w:r>
    </w:p>
    <w:p>
      <w:pPr>
        <w:spacing w:after="200" w:before="200"/>
        <w:jc w:val="center"/>
      </w:pPr>
      <w:r>
        <w:rPr>
          <w:rFonts w:ascii="Arial" w:cs="Arial" w:eastAsia="Arial" w:hAnsi="Arial"/>
          <w:b/>
          <w:bCs/>
          <w:sz w:val="24"/>
          <w:szCs w:val="24"/>
        </w:rPr>
        <w:t xml:space="preserve">Глава 7. Максимальный размер риска на одного заемщика или группу связанных заемщиков (К1)</w:t>
      </w:r>
    </w:p>
    <w:p>
      <w:pPr>
        <w:spacing w:after="60"/>
        <w:ind w:firstLine="567"/>
        <w:jc w:val="both"/>
      </w:pPr>
      <w:r>
        <w:rPr>
          <w:rFonts w:ascii="Arial" w:cs="Arial" w:eastAsia="Arial" w:hAnsi="Arial"/>
          <w:sz w:val="24"/>
          <w:szCs w:val="24"/>
        </w:rPr>
        <w:t xml:space="preserve">38. Максимальный размер риска на одного заемщика или группу связанных заемщиков, не связанных с Банком, не должен превышать следующие значения:</w:t>
      </w:r>
    </w:p>
    <w:p>
      <w:pPr>
        <w:spacing w:after="60"/>
        <w:ind w:firstLine="567"/>
        <w:jc w:val="both"/>
      </w:pPr>
      <w:r>
        <w:rPr>
          <w:rFonts w:ascii="Arial" w:cs="Arial" w:eastAsia="Arial" w:hAnsi="Arial"/>
          <w:sz w:val="24"/>
          <w:szCs w:val="24"/>
        </w:rPr>
        <w:t xml:space="preserve">- для заемщиков или группы связанных заемщиков, кроме банков (К1.1) - 25%;</w:t>
      </w:r>
    </w:p>
    <w:p>
      <w:pPr>
        <w:spacing w:after="60"/>
        <w:ind w:firstLine="567"/>
        <w:jc w:val="both"/>
      </w:pPr>
      <w:r>
        <w:rPr>
          <w:rFonts w:ascii="Arial" w:cs="Arial" w:eastAsia="Arial" w:hAnsi="Arial"/>
          <w:sz w:val="24"/>
          <w:szCs w:val="24"/>
        </w:rPr>
        <w:t xml:space="preserve">- для банков (К1.3) - 30%.</w:t>
      </w:r>
    </w:p>
    <w:p>
      <w:pPr>
        <w:spacing w:after="60"/>
        <w:ind w:firstLine="567"/>
        <w:jc w:val="both"/>
      </w:pPr>
      <w:r>
        <w:rPr>
          <w:rFonts w:ascii="Arial" w:cs="Arial" w:eastAsia="Arial" w:hAnsi="Arial"/>
          <w:sz w:val="24"/>
          <w:szCs w:val="24"/>
        </w:rPr>
        <w:t xml:space="preserve">39. Максимальный размер риска на одного заемщика или группу связанных заемщиков, связанных с Банком, не должен превышать:</w:t>
      </w:r>
    </w:p>
    <w:p>
      <w:pPr>
        <w:spacing w:after="60"/>
        <w:ind w:firstLine="567"/>
        <w:jc w:val="both"/>
      </w:pPr>
      <w:r>
        <w:rPr>
          <w:rFonts w:ascii="Arial" w:cs="Arial" w:eastAsia="Arial" w:hAnsi="Arial"/>
          <w:sz w:val="24"/>
          <w:szCs w:val="24"/>
        </w:rPr>
        <w:t xml:space="preserve">- для заемщиков или группы связанных заемщиков, кроме банков (К1.2) - 15%;</w:t>
      </w:r>
    </w:p>
    <w:p>
      <w:pPr>
        <w:spacing w:after="60"/>
        <w:ind w:firstLine="567"/>
        <w:jc w:val="both"/>
      </w:pPr>
      <w:r>
        <w:rPr>
          <w:rFonts w:ascii="Arial" w:cs="Arial" w:eastAsia="Arial" w:hAnsi="Arial"/>
          <w:sz w:val="24"/>
          <w:szCs w:val="24"/>
        </w:rPr>
        <w:t xml:space="preserve">- для банков (К1.4) - 15%.</w:t>
      </w:r>
    </w:p>
    <w:p>
      <w:pPr>
        <w:spacing w:after="60"/>
        <w:ind w:firstLine="567"/>
        <w:jc w:val="both"/>
      </w:pPr>
      <w:r>
        <w:rPr>
          <w:rFonts w:ascii="Arial" w:cs="Arial" w:eastAsia="Arial" w:hAnsi="Arial"/>
          <w:sz w:val="24"/>
          <w:szCs w:val="24"/>
        </w:rPr>
        <w:t xml:space="preserve">40. Порядок расчета максимального размера риска на одного заемщика или группу связанных заемщиков, не связанных с Банком, определяется аналогично порядку, установленному </w:t>
      </w:r>
      <w:r>
        <w:rPr>
          <w:rFonts w:ascii="Arial" w:cs="Arial" w:eastAsia="Arial" w:hAnsi="Arial"/>
          <w:sz w:val="24"/>
          <w:szCs w:val="24"/>
        </w:rPr>
        <w:t xml:space="preserve">Инструкцией</w:t>
      </w:r>
      <w:r>
        <w:rPr>
          <w:rFonts w:ascii="Arial" w:cs="Arial" w:eastAsia="Arial" w:hAnsi="Arial"/>
          <w:sz w:val="24"/>
          <w:szCs w:val="24"/>
        </w:rPr>
        <w:t xml:space="preserve">"Об ограничениях кредитования", утвержденной </w:t>
      </w:r>
      <w:r>
        <w:rPr>
          <w:rFonts w:ascii="Arial" w:cs="Arial" w:eastAsia="Arial" w:hAnsi="Arial"/>
          <w:sz w:val="24"/>
          <w:szCs w:val="24"/>
        </w:rPr>
        <w:t xml:space="preserve">постановлением </w:t>
      </w:r>
      <w:r>
        <w:rPr>
          <w:rFonts w:ascii="Arial" w:cs="Arial" w:eastAsia="Arial" w:hAnsi="Arial"/>
          <w:sz w:val="24"/>
          <w:szCs w:val="24"/>
        </w:rPr>
        <w:t xml:space="preserve">Правления Национального банка от 12 апреля 2023 года № П-12/23-5-(НПА) (далее - Инструкция "Об ограничениях кредитования").</w:t>
      </w:r>
    </w:p>
    <w:p>
      <w:pPr>
        <w:spacing w:after="60"/>
        <w:ind w:firstLine="567"/>
        <w:jc w:val="both"/>
      </w:pPr>
      <w:r>
        <w:rPr>
          <w:rFonts w:ascii="Arial" w:cs="Arial" w:eastAsia="Arial" w:hAnsi="Arial"/>
          <w:sz w:val="24"/>
          <w:szCs w:val="24"/>
        </w:rPr>
        <w:t xml:space="preserve">41. Порядок расчета максимального размера риска на одного заемщика или группу связанных заемщиков, связанных с Банком, определяется аналогично порядку, установленному в соответствии с главой 6 Инструкции "Об ограничениях кредитования", </w:t>
      </w:r>
      <w:r>
        <w:rPr>
          <w:rFonts w:ascii="Arial" w:cs="Arial" w:eastAsia="Arial" w:hAnsi="Arial"/>
          <w:sz w:val="24"/>
          <w:szCs w:val="24"/>
        </w:rPr>
        <w:t xml:space="preserve">Инструкцией</w:t>
      </w:r>
      <w:r>
        <w:rPr>
          <w:rFonts w:ascii="Arial" w:cs="Arial" w:eastAsia="Arial" w:hAnsi="Arial"/>
          <w:sz w:val="24"/>
          <w:szCs w:val="24"/>
        </w:rPr>
        <w:t xml:space="preserve">"О требованиях к операциям банка с аффилированными и связанными с банком лицами",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31 мая 2017 года № 21/5.</w:t>
      </w:r>
    </w:p>
    <w:p>
      <w:pPr>
        <w:spacing w:after="200" w:before="200"/>
        <w:jc w:val="center"/>
      </w:pPr>
      <w:r>
        <w:rPr>
          <w:rFonts w:ascii="Arial" w:cs="Arial" w:eastAsia="Arial" w:hAnsi="Arial"/>
          <w:b/>
          <w:bCs/>
          <w:sz w:val="24"/>
          <w:szCs w:val="24"/>
        </w:rPr>
        <w:t xml:space="preserve">Глава 8. Стандарты достаточности (адекватности) капитала (К2)</w:t>
      </w:r>
    </w:p>
    <w:p>
      <w:pPr>
        <w:spacing w:after="60"/>
        <w:ind w:firstLine="567"/>
        <w:jc w:val="both"/>
      </w:pPr>
      <w:r>
        <w:rPr>
          <w:rFonts w:ascii="Arial" w:cs="Arial" w:eastAsia="Arial" w:hAnsi="Arial"/>
          <w:sz w:val="24"/>
          <w:szCs w:val="24"/>
        </w:rPr>
        <w:t xml:space="preserve">42. Минимальный размер капитала, устанавливаемый для Банка:</w:t>
      </w:r>
    </w:p>
    <w:p>
      <w:pPr>
        <w:spacing w:after="60"/>
        <w:ind w:firstLine="567"/>
        <w:jc w:val="both"/>
      </w:pPr>
      <w:r>
        <w:rPr>
          <w:rFonts w:ascii="Arial" w:cs="Arial" w:eastAsia="Arial" w:hAnsi="Arial"/>
          <w:sz w:val="24"/>
          <w:szCs w:val="24"/>
        </w:rPr>
        <w:t xml:space="preserve">1) минимальный размер уставного капитала Банка;</w:t>
      </w:r>
    </w:p>
    <w:p>
      <w:pPr>
        <w:spacing w:after="60"/>
        <w:ind w:firstLine="567"/>
        <w:jc w:val="both"/>
      </w:pPr>
      <w:r>
        <w:rPr>
          <w:rFonts w:ascii="Arial" w:cs="Arial" w:eastAsia="Arial" w:hAnsi="Arial"/>
          <w:sz w:val="24"/>
          <w:szCs w:val="24"/>
        </w:rPr>
        <w:t xml:space="preserve">2) минимальный размер собственного (регулятивного) капитала (капитала Первого уровня).</w:t>
      </w:r>
    </w:p>
    <w:p>
      <w:pPr>
        <w:spacing w:after="60"/>
        <w:ind w:firstLine="567"/>
        <w:jc w:val="both"/>
      </w:pPr>
      <w:r>
        <w:rPr>
          <w:rFonts w:ascii="Arial" w:cs="Arial" w:eastAsia="Arial" w:hAnsi="Arial"/>
          <w:sz w:val="24"/>
          <w:szCs w:val="24"/>
        </w:rPr>
        <w:t xml:space="preserve">43. Коэффициенты достаточности (адекватности) капитала, основанные на взвешивании активов и забалансовых обязательств по степени риска:</w:t>
      </w:r>
    </w:p>
    <w:p>
      <w:pPr>
        <w:spacing w:after="60"/>
        <w:ind w:firstLine="567"/>
        <w:jc w:val="both"/>
      </w:pPr>
      <w:r>
        <w:rPr>
          <w:rFonts w:ascii="Arial" w:cs="Arial" w:eastAsia="Arial" w:hAnsi="Arial"/>
          <w:sz w:val="24"/>
          <w:szCs w:val="24"/>
        </w:rPr>
        <w:t xml:space="preserve">- коэффициент адекватности суммарного капитала (К2.1) - не менее 12%;</w:t>
      </w:r>
    </w:p>
    <w:p>
      <w:pPr>
        <w:spacing w:after="60"/>
        <w:ind w:firstLine="567"/>
        <w:jc w:val="both"/>
      </w:pPr>
      <w:r>
        <w:rPr>
          <w:rFonts w:ascii="Arial" w:cs="Arial" w:eastAsia="Arial" w:hAnsi="Arial"/>
          <w:sz w:val="24"/>
          <w:szCs w:val="24"/>
        </w:rPr>
        <w:t xml:space="preserve">- коэффициент адекватности капитала Первого уровня (К2.2) - не менее 7,5%;</w:t>
      </w:r>
    </w:p>
    <w:p>
      <w:pPr>
        <w:spacing w:after="60"/>
        <w:ind w:firstLine="567"/>
        <w:jc w:val="both"/>
      </w:pPr>
      <w:r>
        <w:rPr>
          <w:rFonts w:ascii="Arial" w:cs="Arial" w:eastAsia="Arial" w:hAnsi="Arial"/>
          <w:sz w:val="24"/>
          <w:szCs w:val="24"/>
        </w:rPr>
        <w:t xml:space="preserve">- коэффициент адекватности Базового капитала Первого уровня (К2.3) - не менее 6%.</w:t>
      </w:r>
    </w:p>
    <w:p>
      <w:pPr>
        <w:spacing w:after="60"/>
        <w:ind w:firstLine="567"/>
        <w:jc w:val="both"/>
      </w:pPr>
      <w:r>
        <w:rPr>
          <w:rFonts w:ascii="Arial" w:cs="Arial" w:eastAsia="Arial" w:hAnsi="Arial"/>
          <w:sz w:val="24"/>
          <w:szCs w:val="24"/>
        </w:rPr>
        <w:t xml:space="preserve">44. Левераж (К2.4) - не менее 6%.</w:t>
      </w:r>
    </w:p>
    <w:p>
      <w:pPr>
        <w:spacing w:after="60"/>
        <w:ind w:firstLine="567"/>
        <w:jc w:val="both"/>
      </w:pPr>
      <w:r>
        <w:rPr>
          <w:rFonts w:ascii="Arial" w:cs="Arial" w:eastAsia="Arial" w:hAnsi="Arial"/>
          <w:sz w:val="24"/>
          <w:szCs w:val="24"/>
        </w:rPr>
        <w:t xml:space="preserve">45. Стандарты достаточности (адекватности) капитала и порядок их расчета определяются аналогично порядку, установленному </w:t>
      </w:r>
      <w:r>
        <w:rPr>
          <w:rFonts w:ascii="Arial" w:cs="Arial" w:eastAsia="Arial" w:hAnsi="Arial"/>
          <w:sz w:val="24"/>
          <w:szCs w:val="24"/>
        </w:rPr>
        <w:t xml:space="preserve">Инструкцией</w:t>
      </w:r>
      <w:r>
        <w:rPr>
          <w:rFonts w:ascii="Arial" w:cs="Arial" w:eastAsia="Arial" w:hAnsi="Arial"/>
          <w:sz w:val="24"/>
          <w:szCs w:val="24"/>
        </w:rPr>
        <w:t xml:space="preserve">по определению стандартов достаточности (адекватности) капитала коммерческих банков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12 октября 2022 года № П-12/63-1-(НПА).</w:t>
      </w:r>
    </w:p>
    <w:p>
      <w:pPr>
        <w:spacing w:after="200" w:before="200"/>
        <w:jc w:val="center"/>
      </w:pPr>
      <w:r>
        <w:rPr>
          <w:rFonts w:ascii="Arial" w:cs="Arial" w:eastAsia="Arial" w:hAnsi="Arial"/>
          <w:b/>
          <w:bCs/>
          <w:sz w:val="24"/>
          <w:szCs w:val="24"/>
        </w:rPr>
        <w:t xml:space="preserve">Глава 9. Норматив (показатель) ликвидности</w:t>
      </w:r>
    </w:p>
    <w:p>
      <w:pPr>
        <w:spacing w:after="60"/>
        <w:ind w:firstLine="567"/>
        <w:jc w:val="both"/>
      </w:pPr>
      <w:r>
        <w:rPr>
          <w:rFonts w:ascii="Arial" w:cs="Arial" w:eastAsia="Arial" w:hAnsi="Arial"/>
          <w:sz w:val="24"/>
          <w:szCs w:val="24"/>
        </w:rPr>
        <w:t xml:space="preserve">46. Банк в своих внутренних нормативных документах должен установить размеры норматива ликвидности и обеспечить их соблюдение с учетом особенностей деятельности Банка.</w:t>
      </w:r>
    </w:p>
    <w:p>
      <w:pPr>
        <w:spacing w:after="200" w:before="200"/>
        <w:jc w:val="center"/>
      </w:pPr>
      <w:r>
        <w:rPr>
          <w:rFonts w:ascii="Arial" w:cs="Arial" w:eastAsia="Arial" w:hAnsi="Arial"/>
          <w:b/>
          <w:bCs/>
          <w:sz w:val="24"/>
          <w:szCs w:val="24"/>
        </w:rPr>
        <w:t xml:space="preserve">Глава 10. Лимит открытой валютной позиции (К4)</w:t>
      </w:r>
    </w:p>
    <w:p>
      <w:pPr>
        <w:spacing w:after="60"/>
        <w:ind w:firstLine="567"/>
        <w:jc w:val="both"/>
      </w:pPr>
      <w:r>
        <w:rPr>
          <w:rFonts w:ascii="Arial" w:cs="Arial" w:eastAsia="Arial" w:hAnsi="Arial"/>
          <w:sz w:val="24"/>
          <w:szCs w:val="24"/>
        </w:rPr>
        <w:t xml:space="preserve">47. Лимит открытой валютной позиции (К4) не должен превышать следующие значения:</w:t>
      </w:r>
    </w:p>
    <w:p>
      <w:pPr>
        <w:spacing w:after="60"/>
        <w:ind w:firstLine="567"/>
        <w:jc w:val="both"/>
      </w:pPr>
      <w:r>
        <w:rPr>
          <w:rFonts w:ascii="Arial" w:cs="Arial" w:eastAsia="Arial" w:hAnsi="Arial"/>
          <w:sz w:val="24"/>
          <w:szCs w:val="24"/>
        </w:rPr>
        <w:t xml:space="preserve">- для лимита длинной/короткой открытой валютной балансовой/забалансовой позиции по каждой валюте (К4.1) - не более 15% от чистого суммарного капитала Банка (далее - ЧСК);</w:t>
      </w:r>
    </w:p>
    <w:p>
      <w:pPr>
        <w:spacing w:after="60"/>
        <w:ind w:firstLine="567"/>
        <w:jc w:val="both"/>
      </w:pPr>
      <w:r>
        <w:rPr>
          <w:rFonts w:ascii="Arial" w:cs="Arial" w:eastAsia="Arial" w:hAnsi="Arial"/>
          <w:sz w:val="24"/>
          <w:szCs w:val="24"/>
        </w:rPr>
        <w:t xml:space="preserve">- для суммарной величины длинных открытых валютных позиций (К4.2) - не более 20% ЧСК;</w:t>
      </w:r>
    </w:p>
    <w:p>
      <w:pPr>
        <w:spacing w:after="60"/>
        <w:ind w:firstLine="567"/>
        <w:jc w:val="both"/>
      </w:pPr>
      <w:r>
        <w:rPr>
          <w:rFonts w:ascii="Arial" w:cs="Arial" w:eastAsia="Arial" w:hAnsi="Arial"/>
          <w:sz w:val="24"/>
          <w:szCs w:val="24"/>
        </w:rPr>
        <w:t xml:space="preserve">- для суммарной величины коротких открытых валютных позиций (К4.3) - не более 20% ЧСК.</w:t>
      </w:r>
    </w:p>
    <w:p>
      <w:pPr>
        <w:spacing w:after="60"/>
        <w:ind w:firstLine="567"/>
        <w:jc w:val="both"/>
      </w:pPr>
      <w:r>
        <w:rPr>
          <w:rFonts w:ascii="Arial" w:cs="Arial" w:eastAsia="Arial" w:hAnsi="Arial"/>
          <w:sz w:val="24"/>
          <w:szCs w:val="24"/>
        </w:rPr>
        <w:t xml:space="preserve">48. Расчет лимитов открытой валютной позиции производится аналогично порядку, установленному </w:t>
      </w:r>
      <w:r>
        <w:rPr>
          <w:rFonts w:ascii="Arial" w:cs="Arial" w:eastAsia="Arial" w:hAnsi="Arial"/>
          <w:sz w:val="24"/>
          <w:szCs w:val="24"/>
        </w:rPr>
        <w:t xml:space="preserve">Инструкцией</w:t>
      </w:r>
      <w:r>
        <w:rPr>
          <w:rFonts w:ascii="Arial" w:cs="Arial" w:eastAsia="Arial" w:hAnsi="Arial"/>
          <w:sz w:val="24"/>
          <w:szCs w:val="24"/>
        </w:rPr>
        <w:t xml:space="preserve">"О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29 декабря 2004 года № 36/13.</w:t>
      </w:r>
    </w:p>
    <w:p>
      <w:pPr>
        <w:spacing w:after="200" w:before="200"/>
        <w:jc w:val="center"/>
      </w:pPr>
      <w:r>
        <w:rPr>
          <w:rFonts w:ascii="Arial" w:cs="Arial" w:eastAsia="Arial" w:hAnsi="Arial"/>
          <w:b/>
          <w:bCs/>
          <w:sz w:val="24"/>
          <w:szCs w:val="24"/>
        </w:rPr>
        <w:t xml:space="preserve">Глава 11. Максимальный размер риска по операциям с аффилированными и связанными с Банком лицами</w:t>
      </w:r>
    </w:p>
    <w:p>
      <w:pPr>
        <w:spacing w:after="60"/>
        <w:ind w:firstLine="567"/>
        <w:jc w:val="both"/>
      </w:pPr>
      <w:r>
        <w:rPr>
          <w:rFonts w:ascii="Arial" w:cs="Arial" w:eastAsia="Arial" w:hAnsi="Arial"/>
          <w:sz w:val="24"/>
          <w:szCs w:val="24"/>
        </w:rPr>
        <w:t xml:space="preserve">49. Максимальный размер риска по операциям с аффилированными и/или связанными с Банком лицами, выраженный в качестве размера совокупной задолженности аффилированных и/или связанных с Банком лиц перед Банком, не должен превышать 60% размера чистого суммарного капитала Банка. Из расчета максимального размера риска по операциям с аффилированными и/или связанными с Банком лицами исключаются инвестиции Банка в государственные ценные бумаги Кабинета Министров Кыргызской Республики, а также инвестиции в капитал организаций, являющихся стратегическими объектами Кыргызской Республики.</w:t>
      </w:r>
    </w:p>
    <w:p>
      <w:pPr>
        <w:spacing w:after="200" w:before="200"/>
        <w:jc w:val="center"/>
      </w:pPr>
      <w:r>
        <w:rPr>
          <w:rFonts w:ascii="Arial" w:cs="Arial" w:eastAsia="Arial" w:hAnsi="Arial"/>
          <w:b/>
          <w:bCs/>
          <w:sz w:val="24"/>
          <w:szCs w:val="24"/>
        </w:rPr>
        <w:t xml:space="preserve">Глава 12. Максимальный размер любых инвестиций в каждую небанковскую организацию</w:t>
      </w:r>
    </w:p>
    <w:p>
      <w:pPr>
        <w:spacing w:after="60"/>
        <w:ind w:firstLine="567"/>
        <w:jc w:val="both"/>
      </w:pPr>
      <w:r>
        <w:rPr>
          <w:rFonts w:ascii="Arial" w:cs="Arial" w:eastAsia="Arial" w:hAnsi="Arial"/>
          <w:sz w:val="24"/>
          <w:szCs w:val="24"/>
        </w:rPr>
        <w:t xml:space="preserve">50. Максимальный размер любых инвестиций в каждую небанковскую организацию, включая любые финансовые вложения и кредиты, должен составлять не более 25% размера собственного (регулятивного) капитала Банка, в случае если такая организация является стратегическим объектом Кыргызской Республики - не более 90%.</w:t>
      </w:r>
    </w:p>
    <w:p>
      <w:pPr>
        <w:spacing w:after="60"/>
        <w:ind w:firstLine="567"/>
        <w:jc w:val="both"/>
      </w:pPr>
      <w:r>
        <w:rPr>
          <w:rFonts w:ascii="Arial" w:cs="Arial" w:eastAsia="Arial" w:hAnsi="Arial"/>
          <w:sz w:val="24"/>
          <w:szCs w:val="24"/>
        </w:rPr>
        <w:t xml:space="preserve">51. Общий размер таких инвестиций не может превышать 60% собственного (регулятивного) капитала Банка, в случае размещения инвестиций в организации, которые являются стратегическими объектами Кыргызской Республики - не более 90%.</w:t>
      </w:r>
    </w:p>
    <w:p>
      <w:pPr>
        <w:spacing w:after="200" w:before="200"/>
        <w:jc w:val="center"/>
      </w:pPr>
      <w:r>
        <w:rPr>
          <w:rFonts w:ascii="Arial" w:cs="Arial" w:eastAsia="Arial" w:hAnsi="Arial"/>
          <w:b/>
          <w:bCs/>
          <w:sz w:val="24"/>
          <w:szCs w:val="24"/>
        </w:rPr>
        <w:t xml:space="preserve">Глава 13. Максимальный размер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52. Максимальный размер инвестиций в недвижимое имущество (основные средства) не должен превышать 100% размера оплаченного уставного капитала Банка.</w:t>
      </w:r>
    </w:p>
    <w:p>
      <w:pPr>
        <w:spacing w:after="60"/>
        <w:ind w:firstLine="567"/>
        <w:jc w:val="both"/>
      </w:pPr>
      <w:r>
        <w:rPr>
          <w:rFonts w:ascii="Arial" w:cs="Arial" w:eastAsia="Arial" w:hAnsi="Arial"/>
          <w:sz w:val="24"/>
          <w:szCs w:val="24"/>
        </w:rPr>
        <w:t xml:space="preserve">53. Для целей настоящего Положения под недвижимым имуществом понимается недвижимое имущество (включая строящееся/устанавливаемое недвижимое имущество), которое принадлежит Банку или находится в распоряжении Банка по договору финансовой аренды и используется/будет использоваться в качестве основного средства.</w:t>
      </w:r>
    </w:p>
    <w:p>
      <w:pPr>
        <w:spacing w:after="60"/>
        <w:ind w:firstLine="567"/>
        <w:jc w:val="both"/>
      </w:pPr>
      <w:r>
        <w:rPr>
          <w:rFonts w:ascii="Arial" w:cs="Arial" w:eastAsia="Arial" w:hAnsi="Arial"/>
          <w:sz w:val="24"/>
          <w:szCs w:val="24"/>
        </w:rPr>
        <w:t xml:space="preserve">54. В расчет максимального размера инвестиций в недвижимое имущество (основные средства) должны включаться все недвижимое имущество, капитальные вложения в благоустройство арендованной собственности (по договору операционной и/или финансовой аренды), а также любые вложения в акции или облигации или другие подобные долговые обязательства предприятия, владеющего помещениями Банка, и все кредиты, выданные таким предприятиям и/или обеспеченные их акциями. Все указанные активы (за исключением недвижимого имущества по договору финансовой аренды) включаются в расчет по их балансовой стоимости.</w:t>
      </w:r>
    </w:p>
    <w:p>
      <w:pPr>
        <w:spacing w:after="60"/>
        <w:ind w:firstLine="567"/>
        <w:jc w:val="both"/>
      </w:pPr>
      <w:r>
        <w:rPr>
          <w:rFonts w:ascii="Arial" w:cs="Arial" w:eastAsia="Arial" w:hAnsi="Arial"/>
          <w:sz w:val="24"/>
          <w:szCs w:val="24"/>
        </w:rPr>
        <w:t xml:space="preserve">Недвижимое имущество, находящееся в распоряжении Банка по договору финансовой аренды, должно включаться в расчет максимального размера инвестиций в недвижимое имущество (основные средства) по первоначальной стоимости за вычетом текущего размера обязательств по финансовой аренде.</w:t>
      </w:r>
    </w:p>
    <w:p>
      <w:pPr>
        <w:spacing w:after="60"/>
        <w:ind w:firstLine="567"/>
        <w:jc w:val="both"/>
      </w:pPr>
      <w:r>
        <w:rPr>
          <w:rFonts w:ascii="Arial" w:cs="Arial" w:eastAsia="Arial" w:hAnsi="Arial"/>
          <w:sz w:val="24"/>
          <w:szCs w:val="24"/>
        </w:rPr>
        <w:t xml:space="preserve">55. Банк может иметь недвижимое имущество, предназначенное для создания условий труда и отдыха сотрудников, при условии включения балансовой стоимости данного имущества в расчет максимального размера инвестиций в недвижимое имущество (основные средства).</w:t>
      </w:r>
    </w:p>
    <w:p>
      <w:pPr>
        <w:spacing w:after="60"/>
        <w:ind w:firstLine="567"/>
        <w:jc w:val="both"/>
      </w:pPr>
      <w:r>
        <w:rPr>
          <w:rFonts w:ascii="Arial" w:cs="Arial" w:eastAsia="Arial" w:hAnsi="Arial"/>
          <w:sz w:val="24"/>
          <w:szCs w:val="24"/>
        </w:rPr>
        <w:t xml:space="preserve">56. При проведении переоценки стоимости недвижимого имущества, в результате которой будет нарушен максимальный размер инвестиций в недвижимое имущество (основные средства), Банк в течение 12 (двенадцати) месяцев с момента проведения переоценки должен привести размер инвестиций в недвижимое имущество (основные средства) в соответствии с требованиями настоящего Положения.</w:t>
      </w:r>
    </w:p>
    <w:p>
      <w:pPr>
        <w:spacing w:after="60"/>
        <w:ind w:firstLine="567"/>
        <w:jc w:val="both"/>
      </w:pPr>
      <w:r>
        <w:rPr>
          <w:rFonts w:ascii="Arial" w:cs="Arial" w:eastAsia="Arial" w:hAnsi="Arial"/>
          <w:sz w:val="24"/>
          <w:szCs w:val="24"/>
        </w:rPr>
        <w:t xml:space="preserve">57. Имущество, полученное Банком в погашение задолженности по выданным кредитам, может быть принято Банком как основное средство при соблюдении требований законодательства и выполнении следующих условий:</w:t>
      </w:r>
    </w:p>
    <w:p>
      <w:pPr>
        <w:spacing w:after="60"/>
        <w:ind w:firstLine="567"/>
        <w:jc w:val="both"/>
      </w:pPr>
      <w:r>
        <w:rPr>
          <w:rFonts w:ascii="Arial" w:cs="Arial" w:eastAsia="Arial" w:hAnsi="Arial"/>
          <w:sz w:val="24"/>
          <w:szCs w:val="24"/>
        </w:rPr>
        <w:t xml:space="preserve">- принятие имущества как основного средства не повлечет нарушения максимального размера инвестиций в недвижимое имущество;</w:t>
      </w:r>
    </w:p>
    <w:p>
      <w:pPr>
        <w:spacing w:after="60"/>
        <w:ind w:firstLine="567"/>
        <w:jc w:val="both"/>
      </w:pPr>
      <w:r>
        <w:rPr>
          <w:rFonts w:ascii="Arial" w:cs="Arial" w:eastAsia="Arial" w:hAnsi="Arial"/>
          <w:sz w:val="24"/>
          <w:szCs w:val="24"/>
        </w:rPr>
        <w:t xml:space="preserve">- данное имущество будет использоваться для целей деятельности Банка;</w:t>
      </w:r>
    </w:p>
    <w:p>
      <w:pPr>
        <w:spacing w:after="60"/>
        <w:ind w:firstLine="567"/>
        <w:jc w:val="both"/>
      </w:pPr>
      <w:r>
        <w:rPr>
          <w:rFonts w:ascii="Arial" w:cs="Arial" w:eastAsia="Arial" w:hAnsi="Arial"/>
          <w:sz w:val="24"/>
          <w:szCs w:val="24"/>
        </w:rPr>
        <w:t xml:space="preserve">- срок введения его в эксплуатацию не должен превышать 18 (восемнадцати) месяцев.</w:t>
      </w:r>
    </w:p>
    <w:p>
      <w:pPr>
        <w:spacing w:after="60"/>
        <w:ind w:firstLine="567"/>
        <w:jc w:val="both"/>
      </w:pPr>
      <w:r>
        <w:rPr>
          <w:rFonts w:ascii="Arial" w:cs="Arial" w:eastAsia="Arial" w:hAnsi="Arial"/>
          <w:sz w:val="24"/>
          <w:szCs w:val="24"/>
        </w:rPr>
        <w:t xml:space="preserve">Имущество, полученное в погашение задолженности по выданным кредитам, может быть принято как основное средство только на основании решения Совета директоров, если стоимость принимаемого имущества превышает 10% от чистого суммарного капитала.</w:t>
      </w:r>
    </w:p>
    <w:p>
      <w:pPr>
        <w:spacing w:after="200" w:before="200"/>
        <w:jc w:val="center"/>
      </w:pPr>
      <w:r>
        <w:rPr>
          <w:rFonts w:ascii="Arial" w:cs="Arial" w:eastAsia="Arial" w:hAnsi="Arial"/>
          <w:b/>
          <w:bCs/>
          <w:sz w:val="24"/>
          <w:szCs w:val="24"/>
        </w:rPr>
        <w:t xml:space="preserve">Глава 14. Размер инвестиций в ценные бумаги других государств и негосударственные долговые ценные бумаги</w:t>
      </w:r>
    </w:p>
    <w:p>
      <w:pPr>
        <w:spacing w:after="60"/>
        <w:ind w:firstLine="567"/>
        <w:jc w:val="both"/>
      </w:pPr>
      <w:r>
        <w:rPr>
          <w:rFonts w:ascii="Arial" w:cs="Arial" w:eastAsia="Arial" w:hAnsi="Arial"/>
          <w:sz w:val="24"/>
          <w:szCs w:val="24"/>
        </w:rPr>
        <w:t xml:space="preserve">58. Общий размер инвестиций Банка в ценные бумаги правительств и центральных банков государств, имеющих долгосрочный кредитный рейтинг не ниже уровня "А" или "А2", присвоенный одним из рейтинговых агентств Standard and Poor's, Fitch Ratings или Moody's Investors Service, не должен превышать 100% размера чистого суммарного капитала Банка.</w:t>
      </w:r>
    </w:p>
    <w:p>
      <w:pPr>
        <w:spacing w:after="60"/>
        <w:ind w:firstLine="567"/>
        <w:jc w:val="both"/>
      </w:pPr>
      <w:r>
        <w:rPr>
          <w:rFonts w:ascii="Arial" w:cs="Arial" w:eastAsia="Arial" w:hAnsi="Arial"/>
          <w:sz w:val="24"/>
          <w:szCs w:val="24"/>
        </w:rPr>
        <w:t xml:space="preserve">59. Общий размер инвестиций Банка в негосударственные долговые ценные бумаги не должен превышать 50% размера чистого суммарного капитала Банка.</w:t>
      </w:r>
    </w:p>
    <w:p>
      <w:pPr>
        <w:spacing w:after="200" w:before="200"/>
        <w:jc w:val="center"/>
      </w:pPr>
      <w:r>
        <w:rPr>
          <w:rFonts w:ascii="Arial" w:cs="Arial" w:eastAsia="Arial" w:hAnsi="Arial"/>
          <w:b/>
          <w:bCs/>
          <w:sz w:val="24"/>
          <w:szCs w:val="24"/>
        </w:rPr>
        <w:t xml:space="preserve">Глава 15. Порядок и сроки представления и публикации отчетности и информации о выполнении экономических нормативов</w:t>
      </w:r>
    </w:p>
    <w:p>
      <w:pPr>
        <w:spacing w:after="60"/>
        <w:ind w:firstLine="567"/>
        <w:jc w:val="both"/>
      </w:pPr>
      <w:r>
        <w:rPr>
          <w:rFonts w:ascii="Arial" w:cs="Arial" w:eastAsia="Arial" w:hAnsi="Arial"/>
          <w:sz w:val="24"/>
          <w:szCs w:val="24"/>
        </w:rPr>
        <w:t xml:space="preserve">60. Банк должен на ежедневной основе соблюдать все экономические нормативы.</w:t>
      </w:r>
    </w:p>
    <w:p>
      <w:pPr>
        <w:spacing w:after="60"/>
        <w:ind w:firstLine="567"/>
        <w:jc w:val="both"/>
      </w:pPr>
      <w:r>
        <w:rPr>
          <w:rFonts w:ascii="Arial" w:cs="Arial" w:eastAsia="Arial" w:hAnsi="Arial"/>
          <w:sz w:val="24"/>
          <w:szCs w:val="24"/>
        </w:rPr>
        <w:t xml:space="preserve">61. Отчетность о деятельности Банка, а также о выполнении экономических нормативов представляется в Кабинет Министров Кыргызской Республики (уполномоченный Кабинетом Министров Кыргызской Республики государственный орган) в составе периодического регулятивного отчета по форме Приложений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 В случаях, предусмотренных </w:t>
      </w:r>
      <w:hyperlink w:history="1" r:id="rId2emyxvgc2qbkvq0zxhl1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 отчетность предоставляется также другим государственным органам.</w:t>
      </w:r>
    </w:p>
    <w:p>
      <w:pPr>
        <w:spacing w:after="60"/>
        <w:ind w:firstLine="567"/>
        <w:jc w:val="both"/>
      </w:pPr>
      <w:r>
        <w:rPr>
          <w:rFonts w:ascii="Arial" w:cs="Arial" w:eastAsia="Arial" w:hAnsi="Arial"/>
          <w:sz w:val="24"/>
          <w:szCs w:val="24"/>
        </w:rPr>
        <w:t xml:space="preserve">62. Отчетность о выполнении экономических нормативов должна публиковаться как минимум на официальном сайте Банка, а также при необходимости в иных средствах массовой информации республиканского значения на государственном и/или официальном языках по форме </w:t>
      </w:r>
      <w:hyperlink w:history="1" r:id="rIdkzguko3xngiodtspee-az">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Приложению.</w:t>
      </w:r>
    </w:p>
    <w:p>
      <w:pPr>
        <w:spacing w:after="60"/>
        <w:ind w:firstLine="567"/>
        <w:jc w:val="both"/>
      </w:pPr>
      <w:r>
        <w:rPr>
          <w:rFonts w:ascii="Arial" w:cs="Arial" w:eastAsia="Arial" w:hAnsi="Arial"/>
          <w:sz w:val="24"/>
          <w:szCs w:val="24"/>
        </w:rPr>
        <w:t xml:space="preserve">63. Отчетность должна быть опубликована в течение 30 (тридцати) дней с момента окончания каждого квартала.</w:t>
      </w:r>
    </w:p>
    <w:p>
      <w:pPr>
        <w:spacing w:after="60"/>
        <w:ind w:firstLine="567"/>
        <w:jc w:val="both"/>
      </w:pPr>
      <w:r>
        <w:rPr>
          <w:rFonts w:ascii="Arial" w:cs="Arial" w:eastAsia="Arial" w:hAnsi="Arial"/>
          <w:sz w:val="24"/>
          <w:szCs w:val="24"/>
        </w:rPr>
        <w:t xml:space="preserve">64. Банк осуществляет выбор средств массовой информации для публикации ежеквартальной отчетности с тем, чтобы обеспечить ее широкое распространение и доступность пользователям.</w:t>
      </w:r>
    </w:p>
    <w:p>
      <w:pPr>
        <w:spacing w:after="60"/>
        <w:ind w:firstLine="567"/>
        <w:jc w:val="both"/>
      </w:pPr>
      <w:r>
        <w:rPr>
          <w:rFonts w:ascii="Arial" w:cs="Arial" w:eastAsia="Arial" w:hAnsi="Arial"/>
          <w:sz w:val="24"/>
          <w:szCs w:val="24"/>
        </w:rPr>
        <w:t xml:space="preserve">65. Сведения о публикации с приложением копии публикации должны быть представлены в Кабинет Министров Кыргызской Республики (уполномоченный Кабинетом Министров Кыргызской Республики государственный орган) в течение 3 (трех) рабочих дней после публикации.</w:t>
      </w:r>
    </w:p>
    <w:p>
      <w:pPr>
        <w:spacing w:after="200" w:before="200"/>
        <w:jc w:val="center"/>
      </w:pPr>
      <w:r>
        <w:rPr>
          <w:rFonts w:ascii="Arial" w:cs="Arial" w:eastAsia="Arial" w:hAnsi="Arial"/>
          <w:b/>
          <w:bCs/>
          <w:sz w:val="24"/>
          <w:szCs w:val="24"/>
        </w:rPr>
        <w:t xml:space="preserve">Глава 16. Заключительные положения</w:t>
      </w:r>
    </w:p>
    <w:p>
      <w:pPr>
        <w:spacing w:after="60"/>
        <w:ind w:firstLine="567"/>
        <w:jc w:val="both"/>
      </w:pPr>
      <w:r>
        <w:rPr>
          <w:rFonts w:ascii="Arial" w:cs="Arial" w:eastAsia="Arial" w:hAnsi="Arial"/>
          <w:sz w:val="24"/>
          <w:szCs w:val="24"/>
        </w:rPr>
        <w:t xml:space="preserve">66. В части не урегулированной настоящим Положением, Банк руководствуется внутренними нормативными документами и требованиями законодательства Кыргызской Республики, регулирующими деятельность акционерных обществ.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регулировании деятельности открытого акционерного общества "Государственный банк развития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4"/>
        <w:gridCol w:w="1160"/>
        <w:gridCol w:w="1930"/>
        <w:gridCol w:w="1307"/>
        <w:gridCol w:w="2072"/>
        <w:gridCol w:w="1095"/>
      </w:tblGrid>
      <w:tr>
        <w:tc>
          <w:tcPr>
            <w:tcW w:type="dxa" w:w="26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 и показателей</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19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 норматива/показателя</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c>
          <w:tcPr>
            <w:tcW w:type="dxa" w:w="20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норматива/показателя</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61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СЗ/ЧСК</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ЧСК/ЧРА + П * Кор</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КПУ/ЧРА</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БКПУ/ЧРА</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КПУ/СА + ЗО</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Лимит открытой валютной позиции (К4) не должен превышать следующие значения:</w:t>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Лимит длинной/короткой открытой валютной балансовой/забалансовой позиции по каждой валюте</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К4.1</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суммарной величины длинных открытых валютных позиций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К4.2</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суммарной величины коротких открытых валютных позиций</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К4.3</w:t>
            </w:r>
          </w:p>
        </w:tc>
        <w:tc>
          <w:tcPr>
            <w:tcW w:type="dxa" w:w="1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- 8,33 (100% : 12%).</w:t>
            </w:r>
          </w:p>
          <w:p>
            <w:pPr>
              <w:jc w:val="left"/>
            </w:pPr>
            <w:r>
              <w:rPr>
                <w:rFonts w:ascii="Arial" w:cs="Arial" w:eastAsia="Arial" w:hAnsi="Arial"/>
                <w:sz w:val="24"/>
                <w:szCs w:val="24"/>
              </w:rPr>
              <w:t xml:space="preserve">Кор - размер капитала, резервируемый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определения уровня капитала, необходимого для покрытия операционных рисков банков,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Правления Национального банка от 27 декабря 2019 года № 2019-П-12/68-1-(НПА).</w:t>
            </w:r>
          </w:p>
          <w:p>
            <w:pPr>
              <w:jc w:val="left"/>
            </w:pPr>
            <w:r>
              <w:rPr>
                <w:rFonts w:ascii="Arial" w:cs="Arial" w:eastAsia="Arial" w:hAnsi="Arial"/>
                <w:sz w:val="24"/>
                <w:szCs w:val="24"/>
              </w:rPr>
              <w:t xml:space="preserve">КПУ - Капитал Первого уровня.</w:t>
            </w:r>
          </w:p>
          <w:p>
            <w:pPr>
              <w:jc w:val="left"/>
            </w:pPr>
            <w:r>
              <w:rPr>
                <w:rFonts w:ascii="Arial" w:cs="Arial" w:eastAsia="Arial" w:hAnsi="Arial"/>
                <w:sz w:val="24"/>
                <w:szCs w:val="24"/>
              </w:rPr>
              <w:t xml:space="preserve">БКПУ - Базовый капитал Первого уровня.</w:t>
            </w:r>
          </w:p>
          <w:p>
            <w:pPr>
              <w:jc w:val="left"/>
            </w:pPr>
            <w:r>
              <w:rPr>
                <w:rFonts w:ascii="Arial" w:cs="Arial" w:eastAsia="Arial" w:hAnsi="Arial"/>
                <w:sz w:val="24"/>
                <w:szCs w:val="24"/>
              </w:rPr>
              <w:t xml:space="preserve">ЧСК - чистый суммарный капитал.</w:t>
            </w:r>
          </w:p>
          <w:p>
            <w:pPr>
              <w:jc w:val="left"/>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jc w:val="left"/>
            </w:pPr>
            <w:r>
              <w:rPr>
                <w:rFonts w:ascii="Arial" w:cs="Arial" w:eastAsia="Arial" w:hAnsi="Arial"/>
                <w:sz w:val="24"/>
                <w:szCs w:val="24"/>
              </w:rPr>
              <w:t xml:space="preserve">СА - суммарные активы.</w:t>
            </w:r>
          </w:p>
          <w:p>
            <w:pPr>
              <w:jc w:val="left"/>
            </w:pPr>
            <w:r>
              <w:rPr>
                <w:rFonts w:ascii="Arial" w:cs="Arial" w:eastAsia="Arial" w:hAnsi="Arial"/>
                <w:sz w:val="24"/>
                <w:szCs w:val="24"/>
              </w:rPr>
              <w:t xml:space="preserve">СЗ - совокупная задолженность на одного заемщика.</w:t>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Отчет о выполнении требований</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4"/>
        <w:gridCol w:w="2366"/>
        <w:gridCol w:w="1836"/>
        <w:gridCol w:w="2781"/>
      </w:tblGrid>
      <w:tr>
        <w:tc>
          <w:tcPr>
            <w:tcW w:type="dxa" w:w="31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Обозначение</w:t>
            </w:r>
          </w:p>
        </w:tc>
        <w:tc>
          <w:tcPr>
            <w:tcW w:type="dxa" w:w="2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w:t>
            </w:r>
          </w:p>
        </w:tc>
        <w:tc>
          <w:tcPr>
            <w:tcW w:type="dxa" w:w="18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(в условных ед.)</w:t>
            </w:r>
          </w:p>
        </w:tc>
        <w:tc>
          <w:tcPr>
            <w:tcW w:type="dxa" w:w="27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операциям с аффилированными и связанными с Банком лицами</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чистого суммарного капитала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любых инвестиций в каждую небанковскую организацию</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25% (90%) собственного (регулятивного) капитала банка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стратегических объектов Кыргызской Республики - 90% собственного (регулятивного) капитала</w:t>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размер любых инвестиций в небанковские организации</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60% (90%) собственного (регулятивного) капитала банка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стратегических объектов Кыргызской Республики - 90% собственного (регулятивного) капитала</w:t>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недвижимое имущество (основные средства)</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размера оплаченного уставного капитала банка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в ценные бумаги правительств и центральных банков других государств</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100% чистого суммарного капитала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инвестиций Банка в негосударственные долговые ценные бумаги</w:t>
            </w:r>
          </w:p>
        </w:tc>
        <w:tc>
          <w:tcPr>
            <w:tcW w:type="dxa" w:w="2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50% чистого суммарного капитала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регулировании деятельности открытого акционерного общества "Государственный банк развития Кыргызской Республики"</w:t>
      </w:r>
    </w:p>
    <w:p>
      <w:pPr>
        <w:spacing w:after="120" w:before="400"/>
        <w:jc w:val="center"/>
      </w:pPr>
      <w:r>
        <w:rPr>
          <w:rFonts w:ascii="Arial" w:cs="Arial" w:eastAsia="Arial" w:hAnsi="Arial"/>
          <w:b/>
          <w:bCs/>
          <w:sz w:val="32"/>
          <w:szCs w:val="32"/>
        </w:rPr>
        <w:t xml:space="preserve">СВЕДЕНИЯ
 о соблюдении экономических нормативов открытого акционерного общества "Государственный банк развития Кыргызской Республики"</w:t>
      </w:r>
    </w:p>
    <w:p>
      <w:pPr>
        <w:spacing w:after="60"/>
        <w:jc w:val="center"/>
      </w:pPr>
      <w:r>
        <w:rPr>
          <w:rFonts w:ascii="Arial" w:cs="Arial" w:eastAsia="Arial" w:hAnsi="Arial"/>
          <w:sz w:val="24"/>
          <w:szCs w:val="24"/>
        </w:rPr>
        <w:t xml:space="preserve">за ___________ квартал 20__ г.</w:t>
      </w:r>
    </w:p>
    <w:p>
      <w:pPr>
        <w:spacing w:after="60"/>
        <w:jc w:val="center"/>
      </w:pPr>
      <w:r>
        <w:rPr>
          <w:rFonts w:ascii="Arial" w:cs="Arial" w:eastAsia="Arial" w:hAnsi="Arial"/>
          <w:sz w:val="24"/>
          <w:szCs w:val="24"/>
        </w:rPr>
        <w:t xml:space="preserve">по состоянию на ________________________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9"/>
        <w:gridCol w:w="2521"/>
        <w:gridCol w:w="2288"/>
      </w:tblGrid>
      <w:tr>
        <w:tc>
          <w:tcPr>
            <w:tcW w:type="dxa" w:w="53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экономических нормативов</w:t>
            </w:r>
          </w:p>
        </w:tc>
        <w:tc>
          <w:tcPr>
            <w:tcW w:type="dxa" w:w="2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Установленное значение норматива</w:t>
            </w:r>
          </w:p>
        </w:tc>
        <w:tc>
          <w:tcPr>
            <w:tcW w:type="dxa" w:w="2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Фактическое значение норматива</w:t>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не связанных с Банком (К1.1)</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на одного заемщика или группу связанных заемщиков, связанных с Банком (К1.2)</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не связанный с Банком (К1.3)</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30%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Максимальный размер риска по межбанковским размещениям в банк, связанный с Банком (К1.4)</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(К2.1)</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(К2.2)</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w:t>
            </w:r>
            <w:r>
              <w:rPr>
                <w:rFonts w:ascii="Arial" w:cs="Arial" w:eastAsia="Arial" w:hAnsi="Arial"/>
                <w:sz w:val="24"/>
                <w:szCs w:val="24"/>
              </w:rPr>
              <w:t xml:space="preserve">,</w:t>
            </w:r>
            <w:r>
              <w:rPr>
                <w:rFonts w:ascii="Arial" w:cs="Arial" w:eastAsia="Arial" w:hAnsi="Arial"/>
                <w:sz w:val="24"/>
                <w:szCs w:val="24"/>
              </w:rPr>
              <w:t xml:space="preserve">5%</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Базового капитала Первого уровня (К2.3)</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Левераж (К2.4)</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валютных позиций (К4.2)</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валютных позиций (К4.3)</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длинных открытых позиций в драгоценных металлах (К4.5)</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дней нарушений по суммарной величине коротких открытых позиций в драгоценных металлах (К4.6)</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c>
          <w:tcPr>
            <w:tcW w:type="dxa" w:w="22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Состав периодического регулятивного отчета Банка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
        <w:gridCol w:w="5820"/>
        <w:gridCol w:w="1734"/>
        <w:gridCol w:w="2308"/>
      </w:tblGrid>
      <w:tr>
        <w:tc>
          <w:tcPr>
            <w:tcW w:type="dxa" w:w="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w:t>
            </w:r>
          </w:p>
        </w:tc>
        <w:tc>
          <w:tcPr>
            <w:tcW w:type="dxa" w:w="17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представления</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Базовая информация по Банку, сведения о филиалах/представительствах/структурных подразделениях (офисах), дочерние и аффилированные компании, действующие комитеты</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изменениях в течение квартала</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Регулятивный отчет о финансовом состоянии</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совокупном доходе</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по иностранным активам и обязательствам</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r>
        <w:tc>
          <w:tcPr>
            <w:tcW w:type="dxa" w:w="31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2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Сведения о соблюдении экономических нормативов Банка</w:t>
            </w: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Квартальный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 календарных дней, следующих за отчетным кварталом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Годовой</w:t>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февраля, следующего за отчетным годом</w:t>
            </w:r>
          </w:p>
        </w:tc>
      </w:tr>
    </w:tbl>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51cyhpgf834_spvqbim_">
      <w:r>
        <w:rPr>
          <w:rFonts w:ascii="Arial" w:cs="Arial" w:eastAsia="Arial" w:hAnsi="Arial"/>
          <w:color w:val="132D3F"/>
          <w:sz w:val="16"/>
          <w:szCs w:val="16"/>
          <w:u w:val="single"/>
        </w:rPr>
        <w:t xml:space="preserve">dalil.kg/document/160467</w:t>
      </w:r>
    </w:hyperlink>
  </w:p>
  <w:p>
    <w:pPr>
      <w:spacing w:after="0" w:before="40"/>
      <w:jc w:val="center"/>
    </w:pPr>
    <w:hyperlink w:history="1" r:id="rIdx8kdmbek-imrmabbr1ze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quqpjhdysddx61icofz" Type="http://schemas.openxmlformats.org/officeDocument/2006/relationships/hyperlink" Target="https://dalil.kg/document/160463" TargetMode="External"/><Relationship Id="rIdghosc4jhvm3ewozcmlrin" Type="http://schemas.openxmlformats.org/officeDocument/2006/relationships/hyperlink" Target="https://dalil.kg/document/203761" TargetMode="External"/><Relationship Id="rIdnepp1ryg52nra1w80hyew" Type="http://schemas.openxmlformats.org/officeDocument/2006/relationships/hyperlink" Target="https://dalil.kg/document/203761" TargetMode="External"/><Relationship Id="rIdj9v8lfolvqpccjaxs06qw" Type="http://schemas.openxmlformats.org/officeDocument/2006/relationships/hyperlink" Target="https://dalil.kg/document/203761" TargetMode="External"/><Relationship Id="rId1zrag7auxrx5bgonqtzzp" Type="http://schemas.openxmlformats.org/officeDocument/2006/relationships/hyperlink" Target="https://dalil.kg/document/203761" TargetMode="External"/><Relationship Id="rIdmfvd-f1yuiezzvd81clyd" Type="http://schemas.openxmlformats.org/officeDocument/2006/relationships/hyperlink" Target="https://dalil.kg/document/203761" TargetMode="External"/><Relationship Id="rIdilzpcxyqtwyx2vogwxymn" Type="http://schemas.openxmlformats.org/officeDocument/2006/relationships/hyperlink" Target="https://dalil.kg/document/1188" TargetMode="External"/><Relationship Id="rIdmmxarwgw-hwczyph3awbd" Type="http://schemas.openxmlformats.org/officeDocument/2006/relationships/hyperlink" Target="https://dalil.kg/document/1188" TargetMode="External"/><Relationship Id="rIdibpfwnljy1jxg2fdsg7aw" Type="http://schemas.openxmlformats.org/officeDocument/2006/relationships/hyperlink" Target="https://dalil.kg/document/1188" TargetMode="External"/><Relationship Id="rId2emyxvgc2qbkvq0zxhl1y" Type="http://schemas.openxmlformats.org/officeDocument/2006/relationships/hyperlink" Target="https://dalil.kg/document/203761" TargetMode="External"/><Relationship Id="rIdkzguko3xngiodtspee-az" Type="http://schemas.openxmlformats.org/officeDocument/2006/relationships/hyperlink" Target="https://dalil.kg/document/160467#pr2"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51cyhpgf834_spvqbim_" Type="http://schemas.openxmlformats.org/officeDocument/2006/relationships/hyperlink" Target="https://dalil.kg/document/160467" TargetMode="External"/><Relationship Id="rIdx8kdmbek-imrmabbr1ze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2026-09-28T11:27:01.079Z</dcterms:created>
  <dcterms:modified xsi:type="dcterms:W3CDTF">2026-09-28T11:27:01.079Z</dcterms:modified>
</cp:coreProperties>
</file>

<file path=docProps/custom.xml><?xml version="1.0" encoding="utf-8"?>
<Properties xmlns="http://schemas.openxmlformats.org/officeDocument/2006/custom-properties" xmlns:vt="http://schemas.openxmlformats.org/officeDocument/2006/docPropsVTypes"/>
</file>