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Утвержден </w:t>
      </w:r>
      <w:hyperlink w:history="1" r:id="rId0rx-0lgut1jsf_f0uyg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w:t>
      </w:r>
    </w:p>
    <w:p>
      <w:pPr>
        <w:spacing w:after="60"/>
        <w:jc w:val="right"/>
      </w:pPr>
      <w:r>
        <w:rPr>
          <w:rFonts w:ascii="Arial" w:cs="Arial" w:eastAsia="Arial" w:hAnsi="Arial"/>
          <w:sz w:val="24"/>
          <w:szCs w:val="24"/>
        </w:rPr>
        <w:t xml:space="preserve">от 25 октября 2023 года № 574</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w:t>
      </w:r>
    </w:p>
    <w:p>
      <w:pPr>
        <w:spacing w:after="200" w:before="200"/>
        <w:jc w:val="center"/>
      </w:pPr>
      <w:r>
        <w:rPr>
          <w:rFonts w:ascii="Arial" w:cs="Arial" w:eastAsia="Arial" w:hAnsi="Arial"/>
          <w:i/>
          <w:iCs/>
          <w:sz w:val="24"/>
          <w:szCs w:val="24"/>
        </w:rPr>
        <w:t xml:space="preserve">г.Сочи, от 8 июня 2023 года</w:t>
      </w:r>
    </w:p>
    <w:p>
      <w:pPr>
        <w:spacing w:after="60"/>
        <w:ind w:firstLine="567"/>
        <w:jc w:val="both"/>
      </w:pPr>
      <w:r>
        <w:rPr>
          <w:rFonts w:ascii="Arial" w:cs="Arial" w:eastAsia="Arial" w:hAnsi="Arial"/>
          <w:sz w:val="24"/>
          <w:szCs w:val="24"/>
        </w:rPr>
        <w:t xml:space="preserve">Правительства государств-участников </w:t>
      </w:r>
      <w:r>
        <w:rPr>
          <w:rFonts w:ascii="Arial" w:cs="Arial" w:eastAsia="Arial" w:hAnsi="Arial"/>
          <w:sz w:val="24"/>
          <w:szCs w:val="24"/>
        </w:rPr>
        <w:t xml:space="preserve">Соглашения</w:t>
      </w:r>
      <w:r>
        <w:rPr>
          <w:rFonts w:ascii="Arial" w:cs="Arial" w:eastAsia="Arial" w:hAnsi="Arial"/>
          <w:sz w:val="24"/>
          <w:szCs w:val="24"/>
        </w:rPr>
        <w:t xml:space="preserve">о Правилах определения страны происхождения товаров в Содружестве Независимых Государств от 20 ноября 2009 года (далее - Соглашение), далее именуемые Сторонами,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Перечень</w:t>
      </w:r>
      <w:r>
        <w:rPr>
          <w:rFonts w:ascii="Arial" w:cs="Arial" w:eastAsia="Arial" w:hAnsi="Arial"/>
          <w:sz w:val="24"/>
          <w:szCs w:val="24"/>
        </w:rPr>
        <w:t xml:space="preserve">условий, производственных и технологических операций, при выполнении которых товар считается происходящим из той страны, в которой они имели место (</w:t>
      </w:r>
      <w:r>
        <w:rPr>
          <w:rFonts w:ascii="Arial" w:cs="Arial" w:eastAsia="Arial" w:hAnsi="Arial"/>
          <w:sz w:val="24"/>
          <w:szCs w:val="24"/>
        </w:rPr>
        <w:t xml:space="preserve">приложение 1</w:t>
      </w:r>
      <w:r>
        <w:rPr>
          <w:rFonts w:ascii="Arial" w:cs="Arial" w:eastAsia="Arial" w:hAnsi="Arial"/>
          <w:sz w:val="24"/>
          <w:szCs w:val="24"/>
        </w:rPr>
        <w:t xml:space="preserve"> к Правилам определения страны происхождения товаров, являющимся неотъемлемой частью Соглашения), следующие изменения: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 Строку с кодами ТН ВЭД "1504-1506 00 000"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1504-1506 00 000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масла и их фракции, из рыбы или морских млекопитающих, нерафинированные или рафинированные, но без изменения химического состава; жиропот и жировые вещества, получаемые из него (включая ланолин); прочие жиры и масла животного происхождения и их фракции, нерафинированные или рафинированные, но без изменения химического состава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вытопка;
 выпаривание;
 очистка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 Строку с кодами ТН ВЭД "из 1507-1515"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1507-1515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растительного или микробиологического происхождения рафинированные, фракции масел растительного или микробиологического происхождения, нерафинированных или рафинированных, но без изменения химического состава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рафинации и/или фракционированию в условиях специализированного производства, при этом отдельная операция гидратации не является достаточной для придания товару статуса происхождения</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Строку с кодом ТН ВЭД "1602" изложить в следующей редакции:</w:t>
            </w:r>
          </w:p>
        </w:tc>
      </w:tr>
      <w:tr>
        <w:tc>
          <w:tcPr>
            <w:tcW w:type="dxa" w:w="33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1602</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группы 02 при выполнении технологических операций, за исключением операций по разделке, обвалке, жиловке, нарезке, смешиванию, в том числе мяса домашней птицы механической обвалки, со специями (пряностями) и/или растительными белками, и/или солью, посолу мяса методом шприцевания, операций по разделке необвалянного мяса на части, а также операций по изготовлению мяса домашней птицы механической обвалки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4. Строку с кодом ТН ВЭД "2009"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или ореховые (включая виноградное сусло и кокосовую воду)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соков), гомогенизация (для соков, содержащих мякоть), деаэрация, термообработка (пастеризация, стерилизация) и др.</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5. Строку с кодом ТН ВЭД "из 2202 99 190"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6. Строку с кодом ТН ВЭД "2206 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сидр грушевый, напиток медовый, сакэ); смеси из сброженных напитков и смеси сброженных напитков и безалкогольных напитков, в другом месте не поименованные или не включенные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7. Строку с кодами ТН ВЭД "2403 11 000, 2403 19"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 11 000,
 2403 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заменители табака в любой пропорции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2403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8. Строку с кодом ТН ВЭД "2518"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9. Строку с кодом ТН ВЭД "3002"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 клеточные культуры, модифицированные или немодифицированные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10. Строку с кодом ТН ВЭД "из группы 38"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химические продукты, кроме позиций 3801 20 100, 3801 30 000, из 3803 00, из 3805, из 3806, 3806 30 000, из 3807 00, 3811 21 000, 3822, 3823 70 000, из 3824,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11. После строки с кодом ТН ВЭД "3811 21 000" дополнить строкой с кодом ТН ВЭД "3822" следующего содержания: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позиции 3002 могут использоваться только при условии, что их стоимость не превышает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12. Строку с кодом ТН ВЭД "3920 10 890"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3920 10 890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и неармированные, неслоистые, без подложки и не соединенные аналогичным способом с другими материалами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13. Строку с кодом ТН ВЭД "3921 90 600"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3921 90 600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14. Строку с кодами ТН ВЭД "из 4101-4103"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4101-4103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различных животных без волосяного или шерстного покрова, кроме исключенных примечанием 1 (б) или 1 (в) к данной группе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шкур животных путем удаления волосяного покрова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15. Строку с кодом ТН ВЭД "4408"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 сращенные, имеющие или не имеющие торцевые соединения, толщиной не более 6 мм</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16. Строку с кодом ТН ВЭД "4414 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фрезерование, сборка</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17. Строку с кодом ТН ВЭД "из 4802 55"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массой 1 м</w:t>
            </w:r>
            <w:r>
              <w:rPr>
                <w:rFonts w:ascii="Arial" w:cs="Arial" w:eastAsia="Arial" w:hAnsi="Arial"/>
                <w:sz w:val="24"/>
                <w:szCs w:val="24"/>
              </w:rPr>
              <w:t xml:space="preserve">2</w:t>
            </w:r>
            <w:r>
              <w:rPr>
                <w:rFonts w:ascii="Arial" w:cs="Arial" w:eastAsia="Arial" w:hAnsi="Arial"/>
                <w:sz w:val="24"/>
                <w:szCs w:val="24"/>
              </w:rPr>
              <w:t xml:space="preserve"> 40 г или более, но не более 150 г в рулонах</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18. Строку с кодом ТН ВЭД "из 4802 58 100"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58 100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массой 1 м</w:t>
            </w:r>
            <w:r>
              <w:rPr>
                <w:rFonts w:ascii="Arial" w:cs="Arial" w:eastAsia="Arial" w:hAnsi="Arial"/>
                <w:sz w:val="24"/>
                <w:szCs w:val="24"/>
              </w:rPr>
              <w:t xml:space="preserve">2</w:t>
            </w:r>
            <w:r>
              <w:rPr>
                <w:rFonts w:ascii="Arial" w:cs="Arial" w:eastAsia="Arial" w:hAnsi="Arial"/>
                <w:sz w:val="24"/>
                <w:szCs w:val="24"/>
              </w:rPr>
              <w:t xml:space="preserve"> более 150 г в рулонах</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19. Строку с кодом ТН ВЭД "7019 32 000"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7019 71 000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Вуали (тонкие ткани)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20. Строку с кодом ТН ВЭД "из группы 85"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кроме товаров, относящихся к позициям 8501, 8502, 8507, 8508, 8516 50 000, из 8517, из 8518, 8519, 8521, из 8523, 8525-8528, 8535-8537, 8539 51 10, 8539 51 20, 8539 51 300, 8539 51 40, из 8539 90 800, 8542, 8544, 8545,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21. Строку с кодами ТН ВЭД "8535, 8536" изложить в следующей редакции:</w:t>
            </w:r>
          </w:p>
        </w:tc>
      </w:tr>
      <w:tr>
        <w:tc>
          <w:tcPr>
            <w:tcW w:type="dxa" w:w="3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8535, 8536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соединители для волокон оптических, волоконно-оптических жгутов или кабелей</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8538 могут использоваться только до суммы в пределах 5% цены конечной продукции</w:t>
            </w:r>
          </w:p>
        </w:tc>
      </w:tr>
      <w:tr>
        <w:tc>
          <w:tcPr>
            <w:tcW w:type="dxa" w:w="1017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22. После строки с кодом ТН ВЭД "8537" дополнить строкой с кодами ТН ВЭД "8539 51 10, 8539 51 20, 8539 51 300, 8539 51 40, из 8539 90 800"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51 10,
 8539 51 20,
 8539 51 300,
 8539 51 40,
 из 8539 90 800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светодиодные (LED), предназначенные для товаров субпозиции 9405 11 00, 9405 21 00, 9405 31 000, 9405 41 00 или 
 9405 42 00, и их части</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23. Строку с кодом ТН ВЭД "8803" исключить.</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24. После строки с кодом ТН ВЭД "8805" дополнить строкой с кодом ТН ВЭД "8807"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летательных аппаратов товарной позиции 8801, 8802 или 8806</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позиции 8807 не должна превышать 5%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25. Строку с кодом ТН ВЭД "Группа 90"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90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 кроме товаров позиций из 9021 10 800, из 9021 29 000, для которых применяемые правила излагаются далее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26. После строки с кодом ТН ВЭД "Группа 90" дополнить строкой с кодами ТН ВЭД "из 9021 10 800, из 9021 29 000" в следующей редакции: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9021 10 800,
 из 9021 29 000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прочие приспособления для лечения переломов, специально предназначенные для использования исключительно в имплантатах, применяемых в медицине, хирургии, стоматологии или ветеринарии, из черных металлов; стоматологические соединительные детали, специально предназначенные для использования исключительно в имплантатах, из черных металлов </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7317 00 и 7318</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27. Строку с кодом ТН ВЭД "9405"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017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28. Строку с кодом ТН ВЭД "9608" изложить в следующей редакции: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войлока или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bl>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 </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настоящий Протокол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Сочи 8 июня 2023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А.Асадов</w:t>
      </w:r>
      <w:r>
        <w:rPr>
          <w:rFonts w:ascii="Arial" w:cs="Arial" w:eastAsia="Arial" w:hAnsi="Arial"/>
          <w:sz w:val="24"/>
          <w:szCs w:val="24"/>
        </w:rPr>
        <w:t xml:space="preserve">	</w:t>
      </w:r>
      <w:r>
        <w:rPr>
          <w:rFonts w:ascii="Arial" w:cs="Arial" w:eastAsia="Arial" w:hAnsi="Arial"/>
          <w:b/>
          <w:bCs/>
          <w:sz w:val="24"/>
          <w:szCs w:val="24"/>
        </w:rPr>
        <w:t xml:space="preserve">М.Мишустин</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Н.Пашинян</w:t>
      </w:r>
      <w:r>
        <w:rPr>
          <w:rFonts w:ascii="Arial" w:cs="Arial" w:eastAsia="Arial" w:hAnsi="Arial"/>
          <w:sz w:val="24"/>
          <w:szCs w:val="24"/>
        </w:rPr>
        <w:t xml:space="preserve">	</w:t>
      </w:r>
      <w:r>
        <w:rPr>
          <w:rFonts w:ascii="Arial" w:cs="Arial" w:eastAsia="Arial" w:hAnsi="Arial"/>
          <w:b/>
          <w:bCs/>
          <w:sz w:val="24"/>
          <w:szCs w:val="24"/>
        </w:rPr>
        <w:t xml:space="preserve">К.Расулзода</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Р.Головченко</w:t>
      </w:r>
      <w:r>
        <w:rPr>
          <w:rFonts w:ascii="Arial" w:cs="Arial" w:eastAsia="Arial" w:hAnsi="Arial"/>
          <w:sz w:val="24"/>
          <w:szCs w:val="24"/>
        </w:rPr>
        <w:t xml:space="preserve">	</w:t>
      </w:r>
      <w:r>
        <w:rPr>
          <w:rFonts w:ascii="Arial" w:cs="Arial" w:eastAsia="Arial" w:hAnsi="Arial"/>
          <w:b/>
          <w:bCs/>
          <w:sz w:val="24"/>
          <w:szCs w:val="24"/>
        </w:rPr>
        <w:t xml:space="preserve">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А.Смаилов</w:t>
      </w:r>
      <w:r>
        <w:rPr>
          <w:rFonts w:ascii="Arial" w:cs="Arial" w:eastAsia="Arial" w:hAnsi="Arial"/>
          <w:sz w:val="24"/>
          <w:szCs w:val="24"/>
        </w:rPr>
        <w:t xml:space="preserve">	</w:t>
      </w:r>
      <w:r>
        <w:rPr>
          <w:rFonts w:ascii="Arial" w:cs="Arial" w:eastAsia="Arial" w:hAnsi="Arial"/>
          <w:b/>
          <w:bCs/>
          <w:sz w:val="24"/>
          <w:szCs w:val="24"/>
        </w:rPr>
        <w:t xml:space="preserve">________________</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left"/>
      </w:pPr>
      <w:r>
        <w:rPr>
          <w:rFonts w:ascii="Arial" w:cs="Arial" w:eastAsia="Arial" w:hAnsi="Arial"/>
          <w:b/>
          <w:bCs/>
          <w:sz w:val="24"/>
          <w:szCs w:val="24"/>
        </w:rPr>
        <w:t xml:space="preserve">А.Жапаров</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w:t>
      </w:r>
    </w:p>
    <w:p>
      <w:pPr>
        <w:spacing w:after="60"/>
        <w:ind w:firstLine="567"/>
        <w:jc w:val="both"/>
      </w:pPr>
      <w:r>
        <w:rPr>
          <w:rFonts w:ascii="Arial" w:cs="Arial" w:eastAsia="Arial" w:hAnsi="Arial"/>
          <w:sz w:val="24"/>
          <w:szCs w:val="24"/>
        </w:rPr>
        <w:t xml:space="preserve">За исключением выражения "временно применяется через 60 дней с даты подписания и" </w:t>
      </w:r>
      <w:r>
        <w:rPr>
          <w:rFonts w:ascii="Arial" w:cs="Arial" w:eastAsia="Arial" w:hAnsi="Arial"/>
          <w:sz w:val="24"/>
          <w:szCs w:val="24"/>
        </w:rPr>
        <w:t xml:space="preserve">Статьи 2</w:t>
      </w:r>
      <w:r>
        <w:rPr>
          <w:rFonts w:ascii="Arial" w:cs="Arial" w:eastAsia="Arial" w:hAnsi="Arial"/>
          <w:sz w:val="24"/>
          <w:szCs w:val="24"/>
        </w:rPr>
        <w:t xml:space="preserve"> проекта Протокола.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Армения</w:t>
      </w:r>
    </w:p>
    <w:p>
      <w:pPr>
        <w:spacing w:after="60"/>
        <w:ind w:firstLine="567"/>
        <w:jc w:val="both"/>
      </w:pPr>
      <w:r>
        <w:rPr>
          <w:rFonts w:ascii="Arial" w:cs="Arial" w:eastAsia="Arial" w:hAnsi="Arial"/>
          <w:sz w:val="24"/>
          <w:szCs w:val="24"/>
        </w:rPr>
        <w:t xml:space="preserve">Республика Армения будет применять Протокол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о Правилах определения страны происхождения товаров в Содружестве Независимых Государств от 20 ноября 2009 года до его вступления в силу,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настоящего Протокола, только с даты уведомления о выполнении Республикой Армения соответствующих внутригосударственных процедур.</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Н.Пашинян</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Казахстан</w:t>
      </w:r>
    </w:p>
    <w:p>
      <w:pPr>
        <w:spacing w:after="60"/>
        <w:ind w:firstLine="567"/>
        <w:jc w:val="both"/>
      </w:pPr>
      <w:r>
        <w:rPr>
          <w:rFonts w:ascii="Arial" w:cs="Arial" w:eastAsia="Arial" w:hAnsi="Arial"/>
          <w:sz w:val="24"/>
          <w:szCs w:val="24"/>
        </w:rPr>
        <w:t xml:space="preserve">Для Республики Казахстан настоящий Протокол временно применяется в части, не противоречащей действующему праву Республики Казахстан.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А.Смаилов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x0xtb_8cv0vys5hvoiil">
      <w:r>
        <w:rPr>
          <w:rFonts w:ascii="Arial" w:cs="Arial" w:eastAsia="Arial" w:hAnsi="Arial"/>
          <w:color w:val="132D3F"/>
          <w:sz w:val="16"/>
          <w:szCs w:val="16"/>
          <w:u w:val="single"/>
        </w:rPr>
        <w:t xml:space="preserve">dalil.kg/document/160512</w:t>
      </w:r>
    </w:hyperlink>
  </w:p>
  <w:p>
    <w:pPr>
      <w:spacing w:after="0" w:before="40"/>
      <w:jc w:val="center"/>
    </w:pPr>
    <w:hyperlink w:history="1" r:id="rIdzhvda6pzvualgj4je_qx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x-0lgut1jsf_f0uygfy" Type="http://schemas.openxmlformats.org/officeDocument/2006/relationships/hyperlink" Target="https://dalil.kg/document/160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x0xtb_8cv0vys5hvoiil" Type="http://schemas.openxmlformats.org/officeDocument/2006/relationships/hyperlink" Target="https://dalil.kg/document/160512" TargetMode="External"/><Relationship Id="rIdzhvda6pzvualgj4je_qx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2026-09-28T10:56:04.380Z</dcterms:created>
  <dcterms:modified xsi:type="dcterms:W3CDTF">2026-09-28T10:56:04.380Z</dcterms:modified>
</cp:coreProperties>
</file>

<file path=docProps/custom.xml><?xml version="1.0" encoding="utf-8"?>
<Properties xmlns="http://schemas.openxmlformats.org/officeDocument/2006/custom-properties" xmlns:vt="http://schemas.openxmlformats.org/officeDocument/2006/docPropsVTypes"/>
</file>