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xdnbbdvcw-abc8-ddj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октября 2023 года № 575)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обустройству территории торгового рынка, относящегося к зоне торговли с особым режимом, включая требования к ограждению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-zmvaatmsitfb6nhml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309, </w:t>
        </w:r>
      </w:hyperlink>
      <w:hyperlink w:history="1" r:id="rIdsvax4pbcdszr-uvooff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обустройству территории зоны торговли с особым режимом, включая требования к ограждению (далее – Требования), применяются в отношении налогоплательщиков, осуществляющих деятельность на территории торговых рынков, определенных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86samefyodqj16vsog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торгового рынка в зоне торговли с особым режимом обязан расторгнуть договор аренды в случае отсутствия налоговой и/или учетной регистрации, уплаты налогов за текущий налоговый период субъектами предпринимательства, а также по представлению </w:t>
      </w:r>
      <w:r>
        <w:rPr>
          <w:rFonts w:ascii="Arial" w:cs="Arial" w:eastAsia="Arial" w:hAnsi="Arial"/>
          <w:sz w:val="24"/>
          <w:szCs w:val="24"/>
        </w:rPr>
        <w:t xml:space="preserve">налогового органа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khzxz0-czbjpijehl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Территория торгового рынка, относящаяся к зоне торговли с особым режимом, должна быть ограждена, оснащена системой видеонаблюдения и обустроена с возможностью проведения в отношении субъекта предпринимательства и его товаров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q7qu-jqjqcik-o7kzo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обустройству территории торгового рынка, относящегося к зоне торговли с особым режимом,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и выездных путей со шлагбаумом для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служебных помещений, предназначенных государственным уполномоченным органам для исполнения ими своих функциональных обязанностей (органы налоговой службы и правоохранительные органы) с учетом сезонности, и с доступом к камерам видеонаблюдения и интернету;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охраны для обеспечения безопасности субъектов предпринимательства, осуществляющих свою деятельность на территории </w:t>
      </w:r>
      <w:r>
        <w:rPr>
          <w:rFonts w:ascii="Arial" w:cs="Arial" w:eastAsia="Arial" w:hAnsi="Arial"/>
          <w:sz w:val="24"/>
          <w:szCs w:val="24"/>
        </w:rPr>
        <w:t xml:space="preserve">торгового рынка</w:t>
      </w:r>
      <w:r>
        <w:rPr>
          <w:rFonts w:ascii="Arial" w:cs="Arial" w:eastAsia="Arial" w:hAnsi="Arial"/>
          <w:sz w:val="24"/>
          <w:szCs w:val="24"/>
        </w:rPr>
        <w:t xml:space="preserve">, и представителей государственных органов при исполнении ими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туалетов для персонала и посетителей, установленных и оборудованных в соответствии с определенными требованиями к местам общественного пользования, с подключением к централизованным сетям водопровода и канализации. В случае отсутствия в районе централизованных сетей водоснабжения и канализации допускается устройство местных систем водоснабжения и канализации по согласованию с уполномоченными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информационных стендов с подробной схемой расположения объектов торговли, службы охраны, милиции, администрации рынка, пожарного щита (гидрантов) и туалета;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утвержденного плана взаимодействия, оперативного плана пожаротушения между рынками и уполномоченным государственным органом в области пожарной безопасности по тушению возможных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оборудованные стоянки для грузового и личного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2uhtnyegtxeemo97ci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рынка, относящегося к зоне торговли с особым режимом, должна быть охраняемой, обозначенной и огражденной по всему периметру, иметь дорожное покрытие для обеспечения безопасного передвижения </w:t>
      </w:r>
      <w:r>
        <w:rPr>
          <w:rFonts w:ascii="Arial" w:cs="Arial" w:eastAsia="Arial" w:hAnsi="Arial"/>
          <w:sz w:val="24"/>
          <w:szCs w:val="24"/>
        </w:rPr>
        <w:t xml:space="preserve">населения 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а также парковочные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9wgbiupcxrxnsl718-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если территория рынка согласно правоустанавливающему документу проходит через помещения субъектов предпринимательства, вдоль улицы, дороги, а также между проходами, тротуарами или рядами с помещением субъекта предпринимательства, расположенного на территории другого торгового рынка, относящегося к зоне торговли с особым режимом, то ограждение на данном участке территории не требуется. На данных участках территории устанавливается система видеонаблюдения.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sf1ksi7fvuxwivoizo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Ограждение территории рынков должно представлять собой непрерывную </w:t>
      </w:r>
      <w:r>
        <w:rPr>
          <w:rFonts w:ascii="Arial" w:cs="Arial" w:eastAsia="Arial" w:hAnsi="Arial"/>
          <w:sz w:val="24"/>
          <w:szCs w:val="24"/>
        </w:rPr>
        <w:t xml:space="preserve">(за исключением случаев, указанных в пункте 5-1 настоящих Требований)</w:t>
      </w:r>
      <w:r>
        <w:rPr>
          <w:rFonts w:ascii="Arial" w:cs="Arial" w:eastAsia="Arial" w:hAnsi="Arial"/>
          <w:sz w:val="24"/>
          <w:szCs w:val="24"/>
        </w:rPr>
        <w:t xml:space="preserve"> конструкцию из железобетона, бетона, кирпича, металлоконструкций, железных прутьев, решеток либо из комбинаций данных материалов и быть высотой не менее 2,2 метра, за исключением ограждения помещений субъектов предпринимателей, расположенных внутри огражденной территории рынков, обеспечивающих сохранность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13zqjqfjpq8ck6ahh6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фасаде ограждения (возле входных ворот или на контрольно-пропускных пунктах) должны быть вывешены знаки установленной формы, обозначающие зону налогового контроля,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Товары субъектов рынка, требующие особых условий хранения, должны храниться на территории рынка или территории месторасположения рынка в специально обустроенных для этого складах, при необходимости - с наличием холодильного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 от </w:t>
      </w:r>
      <w:hyperlink w:history="1" r:id="rIdfhhgywzkhy9txmjewj5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 Соответствие рынка условиям по обустройству территории торгового рынка, относящегося к зоне торговли с особым режимом, включая требования к ограждению, подтверждается актом межведомственной комиссии о соответствии рынков нормам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9iw24odymxjxkv4rw1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формируется налоговым органом из числа представителей местной государственной администрации, исполнительного органа местного самоуправления, налогового органа и администрации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efqg-qmyl2pwdjcmfq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alx4gm69_mhbvl0wg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dalil.kg/document/160529</w:t>
      </w:r>
    </w:hyperlink>
  </w:p>
  <w:p>
    <w:pPr>
      <w:spacing w:after="0" w:before="40"/>
      <w:jc w:val="center"/>
    </w:pPr>
    <w:hyperlink w:history="1" r:id="rIdpiqf3r7nyblajhiahcx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dnbbdvcw-abc8-ddjlr" Type="http://schemas.openxmlformats.org/officeDocument/2006/relationships/hyperlink" Target="https://dalil.kg/document/160485" TargetMode="External"/><Relationship Id="rIdh-zmvaatmsitfb6nhmlqn" Type="http://schemas.openxmlformats.org/officeDocument/2006/relationships/hyperlink" Target="https://dalil.kg/document/230008845" TargetMode="External"/><Relationship Id="rIdsvax4pbcdszr-uvooff-y" Type="http://schemas.openxmlformats.org/officeDocument/2006/relationships/hyperlink" Target="https://dalil.kg/document/230039941" TargetMode="External"/><Relationship Id="rIdm86samefyodqj16vsogi_" Type="http://schemas.openxmlformats.org/officeDocument/2006/relationships/hyperlink" Target="https://dalil.kg/document/230039941" TargetMode="External"/><Relationship Id="rIdmmkhzxz0-czbjpijehl3l" Type="http://schemas.openxmlformats.org/officeDocument/2006/relationships/hyperlink" Target="https://dalil.kg/document/230008845" TargetMode="External"/><Relationship Id="rIdkq7qu-jqjqcik-o7kzoem" Type="http://schemas.openxmlformats.org/officeDocument/2006/relationships/hyperlink" Target="https://dalil.kg/document/230008845" TargetMode="External"/><Relationship Id="rIdz2uhtnyegtxeemo97ciji" Type="http://schemas.openxmlformats.org/officeDocument/2006/relationships/hyperlink" Target="https://dalil.kg/document/230008845" TargetMode="External"/><Relationship Id="rIdx9wgbiupcxrxnsl718-9p" Type="http://schemas.openxmlformats.org/officeDocument/2006/relationships/hyperlink" Target="https://dalil.kg/document/230008845" TargetMode="External"/><Relationship Id="rIdisf1ksi7fvuxwivoizojo" Type="http://schemas.openxmlformats.org/officeDocument/2006/relationships/hyperlink" Target="https://dalil.kg/document/230008845" TargetMode="External"/><Relationship Id="rIdj13zqjqfjpq8ck6ahh6ww" Type="http://schemas.openxmlformats.org/officeDocument/2006/relationships/hyperlink" Target="https://dalil.kg/document/230008845" TargetMode="External"/><Relationship Id="rIdfhhgywzkhy9txmjewj5h-" Type="http://schemas.openxmlformats.org/officeDocument/2006/relationships/hyperlink" Target="https://dalil.kg/document/230039941" TargetMode="External"/><Relationship Id="rIdz9iw24odymxjxkv4rw1kx" Type="http://schemas.openxmlformats.org/officeDocument/2006/relationships/hyperlink" Target="https://dalil.kg/document/230008845" TargetMode="External"/><Relationship Id="rIddefqg-qmyl2pwdjcmfqf5" Type="http://schemas.openxmlformats.org/officeDocument/2006/relationships/hyperlink" Target="https://dalil.kg/document/2300088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alx4gm69_mhbvl0wggm" Type="http://schemas.openxmlformats.org/officeDocument/2006/relationships/hyperlink" Target="https://dalil.kg/document/160529" TargetMode="External"/><Relationship Id="rIdpiqf3r7nyblajhiahcx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2026-09-25T20:26:26.536Z</dcterms:created>
  <dcterms:modified xsi:type="dcterms:W3CDTF">2026-09-25T20:26:26.536Z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