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 СИЛУ
 с 1 января 2019 года в соответствии с </w:t>
      </w:r>
      <w:hyperlink w:history="1" r:id="rIdki2tf54rlaelqpq_o4g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13 апреля 2017 года № 58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г.Бишкек, от 25 февраля 2005 года № 39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дополнений и изменения в Кодекс Кыргызской Республики об административной ответственности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(Ведомости Жогорку Кенеша Кыргызской Республики, 1999 г., N 2, ст.77) следующие дополнения и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</w:t>
      </w:r>
      <w:r>
        <w:rPr>
          <w:rFonts w:ascii="Arial" w:cs="Arial" w:eastAsia="Arial" w:hAnsi="Arial"/>
          <w:sz w:val="24"/>
          <w:szCs w:val="24"/>
        </w:rPr>
        <w:t xml:space="preserve">статье 224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название статьи после слов: "в установленном порядке" дополнить словами: ", а также с установленными дополнительными предметами (кроме аудиовидеосредств) или нанесенными тонирующими покрытиями";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статью частью второй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"Управление водителями транспортными средствами с установленными дополнительными предметами (кроме аудиовидеосредств), нанесенными на лобовое, боковые стекла передних дверей тонирующими покрытиями, а также наличие на задних боковых дверях и задних стеклах зеркального тонирующего покрытия -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влекут наложение административного штрафа в размере одной минимальной заработной платы с обязательным условием удаления этих предметов (тонирующей пленки, покрытия и т.п.).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Настоящая норма применяется с 1 июля 2005 года, за исключением специальных автомашин, перечень которых устанавливается Правительством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Абзац первый части первой </w:t>
      </w:r>
      <w:r>
        <w:rPr>
          <w:rFonts w:ascii="Arial" w:cs="Arial" w:eastAsia="Arial" w:hAnsi="Arial"/>
          <w:sz w:val="24"/>
          <w:szCs w:val="24"/>
        </w:rPr>
        <w:t xml:space="preserve">статьи 232</w:t>
      </w:r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"Нарушения правил расположения транспортных средств на проезжей части, обгона, маневрирования и превышение водителями транспортных средств установленной скорости движения до 20 км/час -".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Часть первую </w:t>
      </w:r>
      <w:r>
        <w:rPr>
          <w:rFonts w:ascii="Arial" w:cs="Arial" w:eastAsia="Arial" w:hAnsi="Arial"/>
          <w:sz w:val="24"/>
          <w:szCs w:val="24"/>
        </w:rPr>
        <w:t xml:space="preserve">статьи 584</w:t>
      </w:r>
      <w:r>
        <w:rPr>
          <w:rFonts w:ascii="Arial" w:cs="Arial" w:eastAsia="Arial" w:hAnsi="Arial"/>
          <w:sz w:val="24"/>
          <w:szCs w:val="24"/>
        </w:rPr>
        <w:t xml:space="preserve"> после слов "обнаружения" дополнить словами: ", а по ходатайству лица, в отношении которого ведется производство по делу об административном правонарушении, дело может быть рассмотрено по месту жительства данного лица".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Удаление тонирующего покрытия на стеклах автомобилей осуществляется по заявлению владельца автомашин соответствующими органами Министерства внутренних дел Кыргызской Республики безвозмездно до 1 июля 2005 года.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"Эркинтоо" от 8 марта 2005 года N 20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А.Акаев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Законодательным собранием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27 декабря 2004 года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2tf54rlaelqpq_o4gcd" Type="http://schemas.openxmlformats.org/officeDocument/2006/relationships/hyperlink" Target="http://kodeks.duckdns.org/document/1115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2026-09-23T05:04:45.762Z</dcterms:created>
  <dcterms:modified xsi:type="dcterms:W3CDTF">2026-09-23T05:04:45.762Z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