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ebcgnakuq6evkugzobip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июля 2006 года № 116 г.Парижот 17 октября 2003 года                         МЕЖДУНАРОДНАЯ КОНВЕНЦИЯ            об охране нематериального культурного наследия      I.    Общие положения     II.   Органы Конвенции     III.  Охрана нематериального культурного наследия на национальном           уровне     IV.   Охрана нематериального культурного наследия на международном           уровне     V.    Международное сотрудничество и помощь     VI.   Фонд нематериального культурного наследия     VII.  Доклады     VIII. Переходные положения     IX.   Заключительные положения      Генеральная конференция Организации Объединенных Наций по вопросамобразования, науки и культуры, именуемая ниже ЮНЕСКО, собравшаяся в Па-риже с 29 сентября по 17 октября 2003 г.  на свою тридцать вторую  сес-сию,     ссылаясь на существующие международно-правовые акты о правах чело-века,  в частности на Всеобщую декларацию прав человека 1948 г., Между-народный пакт об экономических,  социальных и культурных правах 1966 г,и Международный пакт о гражданских и политических правах 1966 г.,     принимая во внимание важное значение  нематериального  культурногонаследия  в качестве горнила культурного разнообразия и гарантии устой-чивого развития,  что подчеркивается в Рекомендации ЮНЕСКО о сохранениифольклора 1989 г.,  во Всеобщей декларации ЮНЕСКО о культурном разнооб-разии 2001 г.  и в Стамбульской декларации 2002 г., принятой на третьейвстрече за круглым столом министров культуры,     учитывая тесную взаимозависимость между нематериальным  культурнымнаследием и материальным культурным и природным наследием,     признавая, что процессы глобализации и социальных  преобразований,создавая условия для возобновления диалога между сообществами, вместе стем являются,  как и явление нетерпимости, источниками серьезной угрозыдеградации, исчезновения и разрушения, которая нависла над нематериаль-ным культурным наследием, в частности в результате нехватки средств дляохраны такого наследия,     сознавая всеобщее  стремление  обеспечить  охрану  нематериальногокультурного  наследия  человечества и испытываемую в связи с этим общуюозабоченность,     признавая, что сообщества, в частности коренные сообщества, группыи,  в некоторых случаях,  отдельные лица играют важную роль в создании,охране,  сохранении и воссоздании нематериального культурного наследия,обогащая тем самым культурное разнообразие и способствуя творчеству че-ловека,     отмечая большое значение деятельности ЮНЕСКО по разработке  норма-тивных актов,  направленных на защиту культурного наследия, в частностиКонвенции об охране всемирного культурного и природного  наследия  1972г.,     отмечая далее,  что в настоящее время не существует никакого имею-щего обязательную силу многостороннего правового акта,  касающегося ох-раны нематериального культурного наследия,     считая, что  действующие международные соглашения,  рекомендации ирезолюции о культурном и природном наследии необходимо обогатить и  эф-фективно  дополнить  новыми  положениями,  касающимися  нематериальногокультурного наследия,     учитывая необходимость  более глубокого осознания,  особенно средимолодых поколений,  важности нематериального культурного наследия и егоохраны,     считая, что в духе сотрудничества и взаимопомощи международное со-общество  вместе с государствами-участниками настоящей Конвенции должносодействовать охране такого наследия,     напоминая о  программах ЮНЕСКО по нематериальному культурному нас-ледию,  в частности провозглашении шедевров устного  и  нематериальногонаследия человечества,     принимая во внимание неоценимую роль  нематериального  культурногонаследия в качестве фактора, способствующего сближению, обменам и взаи-мопониманию между людьми,     принимает семнадцатого октября 2003 года настоящую Конвенцию.                           I. Общие положения      Статья 1 - Цели Конвенции      Целями настоящей Конвенции являются:     (a) охрана нематериального культурного наследия;     (b) уважение  нематериального культурного наследия соответствующихсообществ, групп и отдельных лиц;     (c) привлечение внимания на местном,  национальном и международномуровнях к важности нематериального культурного наследия и его взаимногопризнания;     (d) международное сотрудничество и помощь.      Статья 2 - Определения      Для целей настоящей Конвенции:     1. "Нематериальное  культурное  наследие"  означает обычаи,  формыпредставления и выражения,  знания и навыки, - а также связанные с нимиинструменты,  предметы, артефакты и культурные пространства, - признан-ные сообществами,  группами и, в некоторых случаях, отдельными лицами вкачестве части их культурного наследия.     Такое нематериальное культурное наследие,  передаваемое от поколе-ния к поколению, постоянно воссоздается сообществами и группами в зави-симости от окружающей их среды, их взаимодействия с природой и их исто-рии  и формирует у них чувство самобытности и преемственности,  содейс-твуя тем самым уважению культурного разнообразия и творчеству человека.Для целей настоящей Конвенции принимается во внимание только то немате-риальное культурное наследие,  которое согласуется с существующими меж-дународно-правовыми  актами по правам человека и требованиями взаимногоуважения между сообществами,  группами и отдельными лицами, а также ус-тойчивого развития.     2. "Нематериальное культурное  наследие",  как  оно  определено  впункте 1 выше, проявляется, в частности, в следующих областях:     (a) устные традиции и формы выражения, включая язык в качестве но-сителя нематериального культурного наследия;     (b) исполнительские искусства;     (c) обычаи, обряды, празднества;     (d) знания и обычаи, относящиеся к природе и вселенной;     (e) знания и навыки, связанные с традиционными ремеслами.     3. "Охрана" означает принятие мер с целью обеспечения жизнеспособ-ности нематериального культурного наследия,  включая его идентификацию,документирование,  исследование, сохранение, защиту, популяризацию, по-вышение его роли, его передачу, главным образом с помощью формального инеформального образования, а также возрождение различных аспектов тако-го наследия.     4. "Государства-участники" означают государства,  которые  связанынастоящей Конвенцией и в отношении которых Конвенция вступила в силу.     5. Настоящая Конвенция применяется mutatis mutandis к территориям,указанным  в статье 33,  которые становятся ее участниками на условиях,определяемых  этой  статьей.  В  этом  отношении  выражение  "государс-тва-участники" относится также к этим территориям.      Статья 3 - Связь с другими международно-правовыми актами      Ничто в настоящей Конвенции не может быть истолковано как:     (a) изменяющее статус или уменьшающее  уровень  охраны  ценностей,которые признаны всемирным наследием в рамках Конвенции об охране куль-турного и природного наследия 1972 г. и с которыми непосредственно свя-зан тот или иной элемент нематериального культурного наследия; или     (b) затрагивающее права и обязательства государств-участников, вы-текающие из любых международно-правовых актов,  относящихся к правам наинтеллектуальную собственность или к использованию биологических и эко-логических ресурсов, участниками которых они являются.                          II. Органы Конвенции      Статья 4 - Генеральная ассамблея государств-участников      1. Настоящим учреждается Генеральная ассамблея государств-участни-ков,  именуемая ниже "Генеральная ассамблея". Генеральная ассамблея яв-ляется полновластным органом настоящей Конвенции.     2. Генеральная ассамблея собирается на очередные сессии один раз вдва года.  Она может собираться на внеочередные сессии,  если принимаеттакое решение,  или по просьбе Межправительственного комитета по охраненематериального  культурного  наследия,  или  по просьбе не менее однойтрети государств-участников.     3. Генеральная ассамблея принимает свои Правила процедуры.      Статья 5 - Межправительственный комитет по охране нематериального                культурного наследия      1. Настоящим при ЮНЕСКО учреждается  Межправительственный  комитетпо  охране нематериального культурного наследия,  именуемый ниже "Коми-тет".  Комитет состоит из представителей 18 государств-участников, изб-ранных  государствами-участниками,  собравшимися на Генеральную ассамб-лею,  после вступления настоящей Конвенции в  силу  в  соответствии  состатьей 34.     2. Число государств - членов этого Комитета будет увеличено до 24,когда число государств-участников Конвенции достигнет 50.      Статья 6 - Выборы и срок полномочий государств - членов Комитета      1. Выборы  государств - членов Комитета осуществляются в соответс-твии с принципами справедливого географического распределения  и  спра-ведливой ротации.     2. Государства - члены Комитета избираются на срок в  четыре  годагосударствами-участниками  Конвенции,  собравшимися  на Генеральную ас-самблею.     3. Однако  срок  полномочий половины государств - членов Комитета,избранных в ходе первых выборов,  составляет два года.  Эти государстваопределяются по жребию в ходе первых выборов.     4. Каждые два года Генеральная ассамблея обновляет наполовину сос-тав государств - членов Комитета.     5. Она также избирает такое число государств  -  членов  Комитета,которое необходимо для заполнения вакантных мест.     6. Государство - член Комитета не может быть избрано на два  срокаполномочий подряд.     7. Государства - члены Комитета подбирают в качестве своих  предс-тавителей  лиц,  обладающих компетенцией в различных областях нематери-ального культурного наследия.      Статья 7 - Функции Комитета      Без ущерба другим его обязанностям,  установленным настоящей  Кон-венцией, функции Комитета заключаются в следующем:     (a) содействие достижению целей Конвенции, поощрение и обеспечениемониторинга ее выполнения;     (b) предоставление консультаций относительно передовой практики  иподготовка  рекомендаций  о мерах по охране нематериального культурногонаследия;     (c) подготовка  и представление на утверждение Генеральной ассамб-леи проекта плана использования средств Фонда в соответствии со статьей25;     (d) изыскание путей увеличения ресурсов Фонда и  принятие  с  этойцелью необходимых мер в соответствии со статьей 25;     (e) подготовка и представление на утверждение Генеральной  ассамб-леи оперативного руководства по выполнению Конвенции;     (f) рассмотрение в  соответствии  со  статьей  29  докладов  госу-дарств-участников и их резюмирование для Генеральной ассамблеи;     (g) рассмотрение заявок, представляемых государствами-участниками,и  принятие решений в соответствии с разработанными Комитетом и утверж-денными Генеральной ассамблеей объективными критериями, касающимися:     (i) включения в списки и отбора предложений,  упомянутых в статьях16, 17 и 18;     (ii) предоставления международной помощи в соответствии со статьей22.      Статья 8 - Методы работы Комитета      1. Комитет подотчетен Генеральной ассамблее.  Он  представляет  ейдоклады о всей своей деятельности и принимаемых им решениях.     2. Комитет принимает свои Правила процедуры большинством,  состав-ляющим две трети его членов.     3. Комитет может создавать на временной  основе  специальные  кон-сультативные органы, которые он сочтет необходимыми для выполнения сто-ящей перед ним задачи.     4. Комитет  может приглашать на свои заседания любые государствен-ные или частные органы,  а также любых частных лиц, обладающих признан-ной  компетенцией в различных областях нематериального культурного нас-ледия, с целью проведения с ними консультаций по конкретным вопросам.      Статья 9 - Аккредитация консультативных организаций      1. Комитет вносит на рассмотрение Генеральной ассамблеи  предложе-ния  об аккредитации неправительственных организаций,  обладающих приз-нанной компетенцией в области нематериального культурного наследия.  Поотношению к Комитету эти организации выполняют консультативные функции.     2. Комитет вносит  также  на  рассмотрение  Генеральной  ассамблеипредложения о критериях и условиях указанной аккредитации.      Статья 10 - Секретариат      1. Секретариат ЮНЕСКО оказывает помощь Комитету.     2. Секретариат подготавливает документацию для Генеральной ассамб-леи и Комитета, а также проекты повестки дня их заседаний и обеспечива-ет выполнение принимаемых ими решений.                 III. Охрана нематериального культурного                    наследия на национальном уровне      Статья 11 - Роль государств-участников      Каждому государству-участнику надлежит:     (a) принимать необходимые меры для обеспечения охраны нематериаль-ного культурного наследия, имеющегося на его территории;     (b) в рамках мер по охране, указанных в пункте 3 статьи 2, иденти-фицировать  и определять различные элементы нематериального культурногонаследия,  имеющегося на его территории, при участии сообществ, групп исоответствующих неправительственных организаций.      Статья 12 - Перечни      1. Для  обеспечения  идентификации с целью охраны каждое государс-тво-участник с учетом сложившейся ситуации составляет один или несколь-ко  перечней  нематериального  культурного наследия,  имеющегося на еготерритории. Такие перечни подлежат регулярному обновлению.     2. Представляя на периодической основе свой доклад Комитету,  сог-ласно статье 29,  каждое государство-участник сообщает  соответствующуюинформацию по этим перечням.      Статья 13 - Другие меры по охране      Для обеспечения охраны,  развития и повышения роли нематериальногокультурного наследия,  имеющегося на его территории,  каждое  государс-тво-участник прилагает усилия с целью:     (a) принятия общей политики,  направленной на повышение роли нема-териального  культурного  наследия  в обществе и включение охраны этогонаследия в программы планирования;     (b) определения  или  создания  одного или нескольких компетентныхорганов по охране нематериального культурного наследия,  имеющегося  наего территории;     (c) содействия научным,  техническим и искусствоведческим исследо-ваниям, а также разработке научно-исследовательских методологий с цельюэффективной охраны нематериального культурного  наследия,  в  частностинематериального культурного наследия, находящегося в опасности;     (d) принятия соответствующих юридических, технических, администра-тивных и финансовых мер, направленных на:     (i) содействие созданию или укреплению  учреждений  по  подготовкекадров в области управления нематериальным культурным наследием, а так-же передаче этого наследия через форумы и пространства, предназначенныедля его представления и выражения;     (ii) обеспечение доступа к  нематериальному  культурному  наследиюпри  соблюдении  принятой практики,  определяющей порядок доступа к темили иным аспектам такого наследия;     (iii) создание учреждений, занимающихся документацией по нематери-альному культурному наследию, и облегчение доступа к ним.      Статья 14 - Образование, повышение осведомленности общественности                 и укрепление потенциала      Каждое государство-участник,  используя все имеющиеся в его распо-ряжении средства, прилагает усилия, направленные на:     (a) обеспечение признания,  уважения и повышения роли нематериаль-ного культурного наследия в обществе, в частности посредством:     (i) программ  в  области образования,  повышения осведомленности иинформирования общественности, в частности молодежи;     (ii) конкретных  программ  в области образования и подготовки кад-ров, предназначенных для соответствующих сообществ и групп;     (iii) мероприятий  по укреплению потенциала в области охраны нема-териального культурного наследия,  связанных,  в частности, с вопросамиуправления и научных исследований;     (iv) неформальных способов передачи знаний;     (b) информирование общественности об опасностях, угрожающих такомунаследию,  а также о мероприятиях, осуществляемых во исполнение настоя-щей Конвенции;     (c) содействие образованию по вопросам охраны природных пространс-тв и памятных мест,  существование которых необходимо для выражения не-материального культурного наследия.      Статья 15 - Участие сообществ, групп и отдельных лиц      В рамках своей деятельности по охране нематериального  культурногонаследия каждое государство-участник стремится обеспечить по возможнос-ти самое широкое участие сообществ, групп и, в соответствующих случаях,отдельных  лиц,  которые занимаются созданием,  сохранением и передачейтакого наследия,  а также активно привлекать их к управлению таким нас-ледием.             IV. Охрана нематериального культурного наследия                        на международном уровне      Статья 16 - Репрезентативный список нематериального культурного                 наследия человечества      1. Для обеспечения большей наглядности нематериального культурногонаследия, содействия углублению осознания его значения и поощрения диа-лога на основе уважения культурного разнообразия Комитет,  по предложе-нию соответствующих государств-участников, составляет, обновляет и пуб-ликует Репрезентативный список нематериального культурного наследия че-ловечества.     2. Комитет разрабатывает и представляет на утверждение Генеральнойассамблеи критерии составления, обновления и публикации указанного Реп-резентативного списка.      Статья 17 - Список нематериального культурного наследия,                 нуждающегося в срочной охране      1. С целью принятия соответствующих мер охраны Комитет составляет,обновляет и публикует Список нематериального культурного наследия, нуж-дающегося в срочной охране,  и включает такое наследие в этот Список попросьбе соответствующего государства-участника.     2. Комитет разрабатывает и представляет на утверждение Генеральнойассамблеи  критерии  составления,  обновления  и  публикации указанногоСписка.     3. В случаях чрезвычайной срочности,  - объективные критерии кото-рых утверждаются Генеральной ассамблеей на основе предложения Комитета,-  он  может  в консультации с заинтересованным государством-участникомвключить элемент соответствующего наследия в Список, упомянутый в пунк-те 1.      Статья 18 - Программы, проекты и мероприятия по охране                 нематериального культурного наследия      1. На основе предложений,  представляемых государствами-участника-ми,  и в соответствии с разработанными Комитетом критериями, утвержден-ными Генеральной ассамблеей, Комитет проводит периодический отбор и со-действует осуществлению национальных,  субрегиональных или региональныхпрограмм,  проектов и мероприятий по охране наследия,  которые,  по егомнению, наилучшим образом отражают принципы и цели настоящей Конвенции,с учетом особых потребностей развивающихся стран.     2. С этой целью он получает,  рассматривает и утверждает заявки наоказание международной помощи,  сформулированные государствами-участни-ками для подготовки таких предложений.     3. Комитет сопровождает осуществление указанных программ, проектови мероприятий распространением передовой практики в формах, которые бу-дут им определены.                V. Международное сотрудничество и помощь      Статья 19 - Сотрудничество      1. Для  целей  настоящей  Конвенции  международное  сотрудничествовключает, в частности, обмен информацией и опытом, совместные инициати-вы,  а также создание механизма оказания помощи государствам-участникамв их усилиях, направленных на охрану нематериального культурного насле-дия.     2. Без  ущерба  для  положений их национального законодательства инорм обычного права и практики государства-участники признают,  что ох-рана  нематериального  культурного  наследия представляет общий интересдля человечества,  и с этой целью обязуются сотрудничать на  двусторон-нем, субрегиональном, региональном и международном уровнях.      Статья 20 - Цели международной помощи      Международная помощь может предоставляться в следующих целях:     (a) охрана наследия, включенного в Список нематериального культур-ного наследия, нуждающегося в срочной охране;     (b) подготовка перечней в смысле статей 11 и 12;     (c) поддержка программ,  проектов и мероприятий, осуществляемых нанациональном, субрегиональном и региональном уровнях, которые направле-ны на охрану нематериального культурного наследия;     (d) любой другой цели, которую Комитет может счесть необходимой.      Статья 21 - Формы международной помощи      Помощь, предоставляемая Комитетом государству-участнику, регламен-тируется оперативным руководством,  упомянутым в статье 7, а также сог-лашением, предусмотренным в статье 24, и может принимать следующие фор-мы:     (a) исследования, касающиеся различных аспектов охраны;     (b) предоставление  услуг  экспертов  и  носителей нематериальногокультурного наследия;     (c) подготовка любого необходимого персонала;     (d) разработка нормативных и других мер;     (e) создание и обеспечение функционирования инфраструктур;     (f) предоставление оборудования и ноу-хау;     (g) другие формы финансовой и технической помощи, включая, в опре-деленных случаях, предоставление займов под низкие проценты и пожертво-ваний.      Статья 22 - Условия предоставления международной помощи      1. Комитет устанавливает процедуру рассмотрения заявок на междуна-родную помощь и уточняет такие аспекты указанных заявок, как предусмат-риваемые меры, необходимые действия и оценка связанных с ними расходов.     2. В срочных случаях заявка на  получение  помощи  рассматриваетсяКомитетом на приоритетной основе.     3. С целью принятия решения Комитет проводит такие исследования  иконсультации, которые он считает необходимыми.      Статья 23 - Заявки на международную помощь      1. Каждое  государство-участник  может представить Комитету заявкуна международную помощь по охране нематериального культурного наследия,имеющегося на его территории.     2. Такая заявка может быть также представлена совместно двумя  илиболее государствами-участниками.     3. В заявку включается  информация,  предусмотренная  в  пункте  1статьи 22, и необходимая документация.      Статья 24 - Роль государств-участников, являющихся бенефициарами      1. В  соответствии с положениями настоящей Конвенции предоставляе-мая  международная  помощь  регулируется  соглашением  между  государс-твом-участником, являющимся бенефициаром, и Комитетом.     2. Как общее правило,  государство-участник, являющееся бенефициа-ром, в зависимости от имеющихся в его распоряжении средств, участвует впокрытии расходов, связанных с мерами охраны, на которые предоставляет-ся международная помощь.     3. Государство-участник, являющееся бенефициаром, представляет Ко-митету доклад об использовании помощи, оказываемой в целях охраны нема-териального культурного наследия.              VI. Фонд нематериального культурного наследия      Статья 25 - Характер и ресурсы Фонда      1. Настоящим учреждается "Фонд нематериального культурного  насле-дия", именуемый ниже "Фонд".     2. Этот Фонд в соответствии с Положением о финансах ЮНЕСКО являет-ся целевым фондом.     3. Средства Фонда состоят из:     (a) взносов государств-участников;     (b) средств,  ассигнованных для этой цели Генеральной конференциейЮНЕСКО;     (c) взносов,  пожертвований или завещанного имущества, которые мо-гут быть предоставлены:     (i) другими государствами;     (ii) организациями  и программами системы Организации ОбъединенныхНаций,  в частности Программой развития Организации Объединенных Наций,и другими международными организациями;     (iii) государственными или частными органами или частными лицами;     (d) любых процентных начислений на средства этого Фонда;     (e) сумм сборов и поступлений  от  мероприятий,  организованных  впользу Фонда;     (f) любых других средств, предусмотренных Положением о Фонде, раз-работанным Комитетом.     4. Комитет принимает решения об использовании  средств  на  основеруководящих указаний Генеральной ассамблеи.     5. Комитет может принимать взносы и помощь в других формах,  пред-назначенные  для общих или конкретных целей,  связанных с определеннымипроектами, при условии, что такие проекты одобрены Комитетом.     6. Внесение  взносов в Фонд не может сопровождаться никакими поли-тическими,  экономическими или иными условиями, не совместимыми с целя-ми, преследуемыми настоящей Конвенцией.      Статья 26 - Взносы государств-участников в Фонд      1. Без  ущерба для любого дополнительного добровольного взноса го-сударства-участники настоящей Конвенции обязуются  вносить  в  Фонд  покрайней мере раз в два года взносы,  сумма которых, исчисляемая по еди-ной процентной ставке,  применяемой для всех  государств,  определяетсяГенеральной ассамблеей.  Решение Генеральной ассамблеи по этому вопросупринимается большинством присутствующих и участвующих в голосовании го-сударств-участников,  которые не сделали заявления,  предусмотренного впункте 2 настоящей статьи.  Ни в коем случае указанный взнос  государс-тва-участника не превышает 1% его взноса в обычный бюджет ЮНЕСКО.     2. Однако любое государство,  упомянутое в статье 32 или в  статье33 настоящей Конвенции,  может в момент сдачи на хранение своей ратифи-кационной грамоты или документа о принятии, утверждении или присоедине-нии сделать  заявление,  что  оно не будет связано положениями пункта 1настоящей статьи.     3. Государство-участник настоящей Конвенции,  сделавшее заявление,предусмотренное в пункте 2 настоящей статьи,  прилагает усилия к  тому,чтобы отозвать свое заявление,  уведомив об этом Генерального директораЮНЕСКО. Однако отзыв заявления вступает в силу в отношении взноса, при-читающегося с этого государства,  только с даты открытия следующей сес-сии Генеральной ассамблеи.     4. Чтобы  Комитет  мог  эффективно  планировать свою деятельность,взносы государств-участников настоящей Конвенции,  сделавших заявления,предусмотренные в пункте 2 настоящей статьи,  должны вноситься на регу-лярной основе,  по крайней мере раз в два года, и должны по возможностиприближаться к сумме взносов,  которые они должны были бы вносить в томслучае, если бы они были связаны положениями пункта 1 настоящей статьи.     5. Любое государство-участник настоящей Конвенции,  имеющее задол-женность по своим обязательным или добровольным взносам за текущий  годи календарный год,  который непосредственно предшествует ему,  не можетбыть избрано членом Комитета; это положение не применяется к первым вы-борам.  Полномочия такого государства, уже являющегося членом Комитета,истекают в момент любых выборов,  предусмотренных в статье 6  настоящейКонвенции.      Статья 27 - Дополнительные добровольные взносы в Фонд      Государства-участники, желающие внести добровольные взносы, являю-щиеся дополнительными по  отношению  к  тем,  которые  предусмотрены  встатье 26,  информируют об этом Комитет как можно быстрее,  с тем чтобыон мог соответствующим образом планировать свою деятельность.      Статья 28 - Международные кампании по сбору средств      Государства-участники по мере возможности оказывают поддержку меж-дународным кампаниям по сбору средств для Фонда,  организуемым под эги-дой ЮНЕСКО.                              VII. Доклады      Статья 29 - Доклады государств-участников      Государства-участники представляют Комитету в форме и с  периодич-ностью,  определяемыми Комитетом, доклады о законодательных и регламен-тирующих положениях или других мерах,  принятых ими в целях  выполнениянастоящей Конвенции.      Статья 30 - Доклады Комитета      1. Комитет  представляет  каждой сессии Генеральной ассамблеи док-лад,  подготавливаемый на основе  его  деятельности  и  докладов  госу-дарств-участников, указанных в статье 29 выше.     2. Этот доклад доводится до сведения Генеральной конференции ЮНЕС-КО.                       VIII. Переходные положения      Статья 31 - Связь с провозглашением шедевров устного и                 нематериального наследия человечества      1. Комитет  включает  в  Репрезентативный  список  нематериальногокультурного  наследия  человечества  шедевры  устного и нематериальногонаследия человечества,  провозглашенные до вступления в силу  настоящейКонвенции.     2. Включение указанных шедевров в Репрезентативный список  немате-риального культурного наследия человечества никоим образом не предреша-ет критерии, устанавливаемые в соответствии с пунктом 2 статьи 16, при-менительно к последующим включениям.     3. После вступления настоящей Конвенции в силу не будет проводить-ся никаких дальнейших провозглашений.                      IX. Заключительные положения      Статья 32 - Ратификация, принятие и утверждение      1. Настоящая Конвенция подлежит ратификации,  принятию или утверж-дению государствами - членами ЮНЕСКО в порядке,  предусмотренном их со-ответствующими конституционными процедурами.     2. Ратификационные грамоты,  документы о принятии или  утверждениисдаются на хранение Генеральному директору ЮНЕСКО.      Статья 33 - Присоединение      1. Настоящая  Конвенция открыта для присоединения всех государств,не являющихся членами ЮНЕСКО, которым Генеральная конференция Организа-ции предлагает присоединиться к этой Конвенции.     2. Настоящая Конвенция открыта также для присоединения территорий,имеющих полное внутреннее самоуправление,  которые признаются как тако-вые Организацией Объединенных Наций, но не достигли полной независимос-ти в  соответствии с резолюцией 1514 (XV) Генеральной Ассамблеи Органи-зации Объединенных Наций, и обладающих компетенцией в вопросах, регули-руемых настоящей Конвенцией, в том числе компетенцией по заключению до-говоров, относящихся к таким вопросам.     3. Документ  о  присоединении сдается на хранение Генеральному ди-ректору ЮНЕСКО.      Статья 34 - Вступление в силу      Настоящая Конвенция вступает в силу через три месяца со дня  сдачина хранение тридцатой ратификационной грамоты или документа о принятии,утверждении или присоединении,  но лишь в отношении тех государств, ко-торые  сдали  на  хранение свои ратификационные грамоты или документы опринятии,  утверждении или присоединении в указанный день или ранее.  Вотношении любого другого государства-участника Конвенция вступает в си-лу через три месяца со дня сдачи на хранение его ратификационной грамо-ты или документа о принятии, утверждении или присоединении.      Статья 35 - Федеративные или неунитарные конституционные системы      Следующие положения применяются к государствам-участникам, имеющимфедеративное или неунитарное конституционное устройство:     (a) в  том что касается положений настоящей Конвенции,  применениекоторых относится к юрисдикции федеральной  или  центральной  законода-тельной власти,  обязательства федерального или центрального правитель-ства будут теми же, что и обязательства государств-участников, не явля-ющихся федеративными государствами;     (b) в том что касается положений настоящей  Конвенции,  применениекоторых  относится  к юрисдикции отдельных входящих в федерацию штатов,областей, провинций или кантонов, которые в соответствии с существующейв  ней конституциональной системой не обязаны принимать законодательныхмер,  федеральное правительство доводит указанные положения до сведениякомпетентных властей штатов,  областей,  провинций или кантонов с реко-мендацией о их принятии.      Статья 36 - Денонсация      1. Каждое государство-участник может денонсировать настоящую  Кон-венцию.     2. Денонсация нотифицируется письменным актом,  который сдается нахранение Генеральному директору ЮНЕСКО.     3. Денонсация вступает в силу через двенадцать месяцев после  датыполучения акта о денонсации.  Она никоим образом не изменяет финансовыхобязательств, принятых на себя  денонсирующим  государством-участником,до даты вступления в силу выхода из Конвенции.      Статья 37 - Функции депозитария      Генеральный директор ЮНЕСКО,  выступая в качестве депозитария нас-тоящей Конвенции,  информирует государства - члены  Организации,  госу-дарства,  не являющиеся членами Организации,  указанные в статье 33,  атакже Организацию Объединенных Наций о сдаче на хранение всех ратифика-ционных грамот,  документов о принятии,  утверждении или присоединении,упомянутых в статьях 32 и 33,  а также об актах денонсации, указанных встатье 36.      Статья 38 - Поправки      1. Государство-участник может путем письменного сообщения, направ-ленного Генеральному директору ЮНЕСКО,  предложить поправки к настоящейКонвенции.  Генеральный  директор  рассылает такое сообщение всем госу-дарствам-участникам.  Если в течение шести месяцев с даты рассылки ука-занного сообщения не менее половины государств-участников дадут положи-тельные ответы на это предложение,  Генеральный  директор  представляетего следующей сессии Генеральной ассамблеи для рассмотрения и возможно-го принятия.     2. Поправки  принимаются большинством в две трети присутствующих иучаствующих в голосовании государств-участников.     3. Поправки к настоящей Конвенции после их принятия подлежат рати-фикации, принятию, утверждению или присоединению государствами-участни-ками.     4. Поправки вступают в силу, но лишь в отношении государств, кото-рые ратифицировали, приняли, утвердили эти поправки к настоящей Конвен-ции или присоединились к ним, через три месяца со дня сдачи на хранениедокументов,  указанных в пункте 3 настоящей статьи, двумя третями госу-дарств-участников. В последующем для каждого государства-участника, ко-торое ратифицирует,  примет, утвердит поправку или присоединится к поп-равке, данная поправка вступает в силу через три месяца со дня сдачи нахранение государством-участником его документа о ратификации, принятии,утверждении или присоединении.     5. Процедура,  установленная в пунктах 3 и 4, не применяется в от-ношении поправок к статье 5, касающейся числа государств - членов Коми-тета. Такие поправки вступают в силу на момент их принятия.     6. Государство,  которое становится участником настоящей Конвенциипосле  вступления  в силу поправок в соответствии с пунктом 4 настоящейстатьи, если только оно не заявляет об ином намерении, считается:     (a) участником настоящей Конвенции с принятыми к ней поправками;     (b) участником настоящей Конвенции без принятых к ней  поправок  вотношении любого государства-участника, не связанного этими поправками.      Статья 39 - Аутентичность текстов      Настоящая Конвенция составлена на английском, арабском, испанском,китайском, русском и французском языках, причем все шесть текстов явля-ются равно аутентичными.      Статья 40 - Регистрация      В соответствии  со статьей 102 Устава Организации Объединенных На-ций настоящая Конвенция регистрируется в Секретариате Организации  Объ-единенных Наций по просьбе Генерального директора ЮНЕСКО.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h9q8lbxw7e5ee79bia7">
      <w:r>
        <w:rPr>
          <w:rFonts w:ascii="Arial" w:cs="Arial" w:eastAsia="Arial" w:hAnsi="Arial"/>
          <w:color w:val="132D3F"/>
          <w:sz w:val="16"/>
          <w:szCs w:val="16"/>
          <w:u w:val="single"/>
        </w:rPr>
        <w:t xml:space="preserve">dalil.kg/document/17728</w:t>
      </w:r>
    </w:hyperlink>
  </w:p>
  <w:p>
    <w:pPr>
      <w:spacing w:after="0" w:before="40"/>
      <w:jc w:val="center"/>
    </w:pPr>
    <w:hyperlink w:history="1" r:id="rIdmnhugwds4mix-rjaujd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bcgnakuq6evkugzobipp" Type="http://schemas.openxmlformats.org/officeDocument/2006/relationships/hyperlink" Target="https://dalil.kg/document/19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h9q8lbxw7e5ee79bia7" Type="http://schemas.openxmlformats.org/officeDocument/2006/relationships/hyperlink" Target="https://dalil.kg/document/17728" TargetMode="External"/><Relationship Id="rIdmnhugwds4mix-rjaujd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2026-09-25T00:29:16.772Z</dcterms:created>
  <dcterms:modified xsi:type="dcterms:W3CDTF">2026-09-25T00:29:16.772Z</dcterms:modified>
</cp:coreProperties>
</file>

<file path=docProps/custom.xml><?xml version="1.0" encoding="utf-8"?>
<Properties xmlns="http://schemas.openxmlformats.org/officeDocument/2006/custom-properties" xmlns:vt="http://schemas.openxmlformats.org/officeDocument/2006/docPropsVTypes"/>
</file>