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2006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расчетном показателе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y3eglk_mwxlqfsldgk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для снятия связи между минимальной заработной платой и выплатами, компенсациями, другими платежами или экономическими показателями, устанавливаемыми в кратности от размера минимальной заработной платы, но не связанными с оплатой труда.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показатель</w:t>
      </w:r>
      <w:r>
        <w:rPr>
          <w:rFonts w:ascii="Arial" w:cs="Arial" w:eastAsia="Arial" w:hAnsi="Arial"/>
          <w:sz w:val="24"/>
          <w:szCs w:val="24"/>
        </w:rPr>
        <w:t xml:space="preserve"> - нормативный денежный показатель для определения размера социальных выплат, компенсаций, экономических санкций, административных взысканий и штрафов, других экономических показателей, не связанных с оплатой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надбавок к пенсиям по возрасту, выслуге лет 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среднемесячного заработка, дохода (денежного довольствия) для исчисления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компенсаций за ущерб здоровью и семьям, потерявшим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стоимости патента, лицензии для занятий определенным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предоставляемых льгот отдельным категориям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экономических санкций, административных взысканий, штрафов, налоговых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уставных и других фондов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социальных выплат, не связанных с оплатой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dqwcl-ne4wqrdhppcno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6 июля 2016 года № 4-п "Об отказе в удовлетворении жалоб граждан Дженалиевой Илиды, Осмоналиевой Айнуры Мусаевны, Осмонбаева Бектура Камильевича об отмене определения коллегии судей Конституционной палаты Верховного суда Кыргызской Республики от 15 апреля 2016 года № 17-о"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показатель утверждается Жогорку Кенешем Кыргызской Республики по представлению Кабинета Министров Кыргызской Республики. В случае неутверждения Жогорку Кенешем Кыргызской Республики расчетного показателя, сохраняется прежний его размер. Для каждой категории выплат может быть установлен отдельный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cj_lhlbv2fvulizekg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y_ut0obuqykz_mearhx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15 июня 2006 года № 1115-III "Об утверждении размера расчетного показателя"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av4ptdsuk4dqh6d53xx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12 мая 2006 года N 346 "О внесении изменений в некоторые решения Правительства Кыргызской Республики";</w:t>
      </w:r>
    </w:p>
    <w:p>
      <w:pPr>
        <w:spacing w:after="60"/>
        <w:ind w:firstLine="567"/>
        <w:jc w:val="both"/>
      </w:pPr>
      <w:hyperlink w:history="1" r:id="rId2c_hii6qjyej-myemc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31 мая 2006 года N 393 "О внесении изменений в </w:t>
      </w:r>
      <w:hyperlink w:history="1" r:id="rIdwcbo-dtj2z7p28mrnny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17 марта 2000 года N 142 "О мерах по реализации требований Налогового </w:t>
      </w:r>
      <w:hyperlink w:history="1" r:id="rIdi5rozf7gc4ac_mqbfkk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3eglk_mwxlqfsldgkfr" Type="http://schemas.openxmlformats.org/officeDocument/2006/relationships/hyperlink" Target="http://kodeks.duckdns.org/document/112575" TargetMode="External"/><Relationship Id="rIddqwcl-ne4wqrdhppcnoxk" Type="http://schemas.openxmlformats.org/officeDocument/2006/relationships/hyperlink" Target="http://kodeks.duckdns.org/document/9695" TargetMode="External"/><Relationship Id="rIdzcj_lhlbv2fvulizekgtr" Type="http://schemas.openxmlformats.org/officeDocument/2006/relationships/hyperlink" Target="http://kodeks.duckdns.org/document/112575" TargetMode="External"/><Relationship Id="rIdy_ut0obuqykz_mearhxbt" Type="http://schemas.openxmlformats.org/officeDocument/2006/relationships/hyperlink" Target="http://kodeks.duckdns.org/document/51948" TargetMode="External"/><Relationship Id="rIdav4ptdsuk4dqh6d53xxga" Type="http://schemas.openxmlformats.org/officeDocument/2006/relationships/hyperlink" Target="http://kodeks.duckdns.org/document/57433" TargetMode="External"/><Relationship Id="rId2c_hii6qjyej-myemcomj" Type="http://schemas.openxmlformats.org/officeDocument/2006/relationships/hyperlink" Target="http://kodeks.duckdns.org/document/57493" TargetMode="External"/><Relationship Id="rIdwcbo-dtj2z7p28mrnnymr" Type="http://schemas.openxmlformats.org/officeDocument/2006/relationships/hyperlink" Target="http://kodeks.duckdns.org/document/7158" TargetMode="External"/><Relationship Id="rIdi5rozf7gc4ac_mqbfkkff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2026-09-22T23:45:23.272Z</dcterms:created>
  <dcterms:modified xsi:type="dcterms:W3CDTF">2026-09-22T23:45:23.272Z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