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w:t>
      </w:r>
      <w:hyperlink w:history="1" r:id="rIdtnslulm2qybpjinkotsjp">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6 сентября 2006 года №492-р                                                                                                                                                  ГРАНТ Н250-К КG                            СОГЛАШЕНИЕ О ФИНАНСИРОВАНИИ                                                               (Второй Проект сельских инвестиций)                                                                              между                                                                      КЫРГЫЗСКОЙ РЕСПУБЛИКОЙ                                                                                и                                                               МЕЖДУНАРОДНОЙ АССОЦИАЦИЕЙ РАЗВИТИЯ                                                                    Дата:            ,2006г.                                                                   ГРАНТ Н250-К КG                            СОГЛАШЕНИЕ О ФИНАНСИРОВАНИИ                    СОГЛАШЕНИЕ   от ________________________________________       2006   г.   между КЫРГЫЗСКОЙ   РЕСПУБЛИКОЙ  (Получатель)  и  МЕЖДУНАРОДНОЙ  АССОЦИАЦИЕЙ   РАЗВИТИЯ(Ассоциация). Получатель и Ассоциация настоящим договариваются о нижеследующем:                             СТАТЬЯ I - ОБЩИЕ УСЛОВИЯ;                                   ОПРЕДЕЛЕНИЯ                                           1.01  Общие  условия (согласно определению, данному в Дополнении к настоящемуСоглашению) составляют неотьемлемую часть настояшего Соглашения.    1.02   Если  из  контекста  не следует иное, обозначенные  заглавными  буквамитермины,   которые   используются   в   Соглашении   о   финансировании,   имеютсоответствующие значения, закрепленные за ними Общими условиями или  Дополнениемк настоящему Соглашению.                           СТАТЬЯ II – ФИНАНСИРОВАНИЕ    2.01   Ассоциация согласна предоставить - на сроки и на условиях,  изложенныхили  упоминаемых  в рамках настоящего Соглашения - Получателю грант  в  размере,эквивалентном  десяти  миллионам  и ста тысячам специальных  прав  заимствования(10,100,000   СПЗ) (</w:t>
      </w:r>
      <w:hyperlink w:history="1" r:id="rIdd0ch7mxv26xcdobnamgdq">
        <w:r>
          <w:rPr>
            <w:rFonts w:ascii="Arial" w:cs="Arial" w:eastAsia="Arial" w:hAnsi="Arial"/>
            <w:color w:val="1D4ED8"/>
            <w:sz w:val="24"/>
            <w:szCs w:val="24"/>
            <w:u w:val="single"/>
          </w:rPr>
          <w:t xml:space="preserve">Прим-1</w:t>
        </w:r>
      </w:hyperlink>
      <w:r>
        <w:rPr>
          <w:rFonts w:ascii="Arial" w:cs="Arial" w:eastAsia="Arial" w:hAnsi="Arial"/>
          <w:sz w:val="24"/>
          <w:szCs w:val="24"/>
        </w:rPr>
        <w:t xml:space="preserve">) для содействия в финансировании Проекта описываемогов </w:t>
      </w:r>
      <w:hyperlink w:history="1" r:id="rIduxmmg7xzmpsdvlutvhfc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Соглашению («Проект»).    2.02    Получатель   может  производить  выборку  средств  Финансирования   всоответствии с положениями Раздела IV </w:t>
      </w:r>
      <w:hyperlink w:history="1" r:id="rId_vylnsp96w11vlzmoln8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2.03   Максимальный размер выплачиваемой Получателем платы за  резервированиеневыбранного остатка средств финансирования составляет половину процента (1/2 от1%) в год.    2.04   Сроками  платежа являются следующие даты: 15 мая и  5  ноября  каждогогода.    2.05 Валютой платежа является доллар США.                                                                       СТАТЬЯ III – ПРОЕКТ    3.01.  (а)   Получатель заявляет о своей приверженности к  целям  Проекта.  Сэтой  целью,  Получатель обеспечивает выполнение Проекта  Агентством  реализациипроекта в соответствии с положениями Статьи IV Общих условий.    (Ь)    Получатель предоставит средства Гранта Агентству реализации проекта  врамках  Субсидиарного  соглашения  о  гранте,  которое  будет  заключено   междуПолучателем и Агентством реализации проекта на сроки и на условиях, которые былиодобрены Ассоциацией.            (с)    Получатель  будет  использовать  свои  права  в  рамках  Субсидиарногосоглашения  о  гранте  таким  образом,  чтобы  защищать  интересы  Получателя  иАссоциации,  а  также в целях достижения целей Гранта, и, если с Ассоциацией  небудет согласовано иное, Получатель не может переуступать, изменять, аннулироватьили  приостанавливать действие Субсидиарного соглашения о Гранте или какого-либоего положений.            3.02.   Без  каких-либо  ограничений  в  отношении  положений  Раздела   3.01настоящего  Соглашения,  и если иное не будет согласовано  между  Получателем  иАссоциацией,  Получатель будет заниматься реализацией Проекта в  соответствии  сположениями </w:t>
      </w:r>
      <w:hyperlink w:history="1" r:id="rId6f-unqbcsgucwibbumsrg">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СТАТЬЯ IV - САНКЦИИ АССОЦИАЦИИ                                           4.01.  Дополнительные события приостановки выплат средств гранта заключаютсяв следующем:    (а)  Невылолнение  Агентством  реализации  проекта  каких-либо  обязательств,предусматриваемых Соглашением о Проекте.      (Ь)  Возникновение  в  результате происшедших после подписания  Соглашения  офинансировании событий чрезвычайной ситуации, в силу чего выполнение "Агентствомреализации  проекта  своих  обязатсльств в рамках Соглашения  о  Проекте  станетневозможным.      (с)  Внесение  изменений,  приостановление,  упразднение,  аннулирование  илиотмена </w:t>
      </w:r>
      <w:hyperlink w:history="1" r:id="rIdoqc5kbrxaytng6ecjy57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Агентства развитияи  инвестирования сообществ Кыргызской Республики» от 15 октября 2003 г. №  330,оказывающие  материальное  и  негативное воздействие  на  возможности  Агентствареализации проекта исполнять свои обязательства в рамках Соглашения о Проекте                             СТАТЬЯ V - ВСТУПЛЕНИЕ В СИЛУ;                              ПРЕКРАЩЕНИЕ ДЕЙСТВИЯ.                                           5.01   Дололнительное  условие  вступления в силу  заключается  в  подписанииСубсидиарного  соглашения  о гранте между Получателем  и  Агентством  реализациипроекта.      5.02  Дололнительные юридические вопросы заключаются в следующем:      (а)     Субсидиарное  соглашение  о  гранте  должным  образом  одобрено   илиратифицировано   Получателем  и  Агентством  реализации  проекта,   и   являетсяюридически  обязательным  для  Получателя  и  Агентства  реализации  проекта   всоответствии со своими условиями; и      (Ь)   Соглашение  о  проекте  должным  образом  одобрено  или  ратифицированоАгентством реализации проекта, и является юридически обязательным для  Агентствареализации проекта в соответствии со своими условиями.      5.03   Срок  вступления   в силу составляет девяносто  (90)  дней  с  моментаподписания настоящего Соглашения.      5.04   Для  целей  Раздела  8.05 (Ь) Общих условий, срок  окончания  действияобязательств  Получателя в соответствии с Приложением 2 к настоящему  Соглашениюсоставляет 20 лет с момента подписания настоящего Соглашения                         СТАТЬЯ VI - ПРЕДСТАВИТЕЛЬ ПОЛУЧАТЕЛЯ;                                     АДРЕСА                                           6.01      Представителем получателя является Министр экономики и финансов.      6.02  Адрес Получателя:                               Министерство экономики и финансов Кыргызской Республики      бульвар Эркиндик, д. 58.   Бишкек, 720040   Кыргызская Республика           Телекс:                   Факс:        245-156 NUR КН            (996-312) 661645         6.03.     Адрес Ассоциации:         Международная ассоциация развития   ул. Н, 1818, N.W.   Вашингтон, Округ Колумбия, 20433   Соединенные Штаты Америки      Кабельный адрес:     Телекс:                  Факс:   INDEVAS              248423 (MCI)             (202) 477-6391      Вашингтон, Округ Колумбия 64145 (MCI)      СОГЛАСОВАНО в_________________________в день и год, указанные выше.         КЫРГЫЗСКАЯ РЕСПУБЛИКА                              Подпись:       Уполномоченный представитель                           МЕЖДУНАРОДНАЯ АССОЦИЯЦИЯ                           Подпись:       Уполномоченный представитель       </w:t>
      </w:r>
      <w:r>
        <w:rPr>
          <w:rFonts w:ascii="Arial" w:cs="Arial" w:eastAsia="Arial" w:hAnsi="Arial"/>
          <w:sz w:val="24"/>
          <w:szCs w:val="24"/>
        </w:rPr>
        <w:t xml:space="preserve">                                 ПРИЛОЖЕНИЕ 1</w:t>
      </w:r>
      <w:r>
        <w:rPr>
          <w:rFonts w:ascii="Arial" w:cs="Arial" w:eastAsia="Arial" w:hAnsi="Arial"/>
          <w:sz w:val="24"/>
          <w:szCs w:val="24"/>
        </w:rPr>
        <w:t xml:space="preserve">                                                                        Описание Проекта      Цель  Проекта заключается в содействии Получателю в: (а) улучшении управленияи  потенциала на местном уровне; (Ь) усилении обеспечения и доступа  к  основныминфраструктурным   услугам;   и   (с)   поддержке   развития   частного   малогопредпринимательства, основанного на коллективной собственности.  Проект  состоитиз следующих частей:      Часть I: Формирование потенциала и расширение полномочий      1.        Предоставление    участвующим    сообществам,    местным    органамсамоуправления, общинным организациям и местным неправительственным организациямтехнической  помощи  и  обучения по вопросам мобилизации  общин  и  формированияпотенциала, планирования развития и реализации микропроектов.      Часть II: Сельские инвестиции      Предоставление  правомочным  сообществам  Грантов  для  сообществ   с   цельюоказания им помощи в реализации своих Инвестиционных планов.      Часть III: Управление Проектом      Предоставление  Агентству  реализации  проекта  технической  помощи,  включаяаудит  и  тренинги,  для  целей  управления  и  мониторинга  Проекта,  наряду  сфинансированием  операционных расходов Агентства  реализации  проекта  в  рамкахданного Проекта.         </w:t>
      </w:r>
      <w:r>
        <w:rPr>
          <w:rFonts w:ascii="Arial" w:cs="Arial" w:eastAsia="Arial" w:hAnsi="Arial"/>
          <w:sz w:val="24"/>
          <w:szCs w:val="24"/>
        </w:rPr>
        <w:t xml:space="preserve">                                  ПРИЛОЖЕНИЕ 2</w:t>
      </w:r>
      <w:r>
        <w:rPr>
          <w:rFonts w:ascii="Arial" w:cs="Arial" w:eastAsia="Arial" w:hAnsi="Arial"/>
          <w:sz w:val="24"/>
          <w:szCs w:val="24"/>
        </w:rPr>
        <w:t xml:space="preserve">                                  Реализация Проекта                                           Раздел 1.  Институциональные и другие механизмы      1.     Вплоть  до завершения Проекта Получателъ сохранит Агентство реализациипроекта  с  песрсоналом,  ресурсами и техническими  заданиями,  удовлетворяющимитребованиям  Ассоциации,  не  будет вносить  изменения  в  Устав  без  полученияпредварительного  согласия Ассоциации, и не будет принуждатъ к  этому  Агентствореализации  проекта, и возложит на Агентство реализации проекта  ответственностъза общее управление и координацию Проекта, включая:         (а)   составление заявок о снятии средств в рамках гранта;      (Ь)    содержание  документов и счетов, связанных с Проектом,  и  оргзнизацияаудиторской проверки таковых;      (с)    участие  в  управлении тендерными процедурами и контрактами  в  рамкахПроекта; и      (d)    составление ежеквартальных отчетов по Проекту и предоставление таковыхПолучателю и Ассоциации в течение 45 дней с момента завершения каждого квартала,причем первый такой отчет должен быть предоставлен Ассоциации в течение 45  днейс  момента  завершення первого полного календарного квартала после вступления  всилу настоящего Соглашения.      2.     Получатель  должен  будет   обеспечить ведение  Агентством  реализациипроекта   Операционного   руководства,  форма  и  содержание   которого   должныудовлетворять  требованиям  Ассоциации,  и  не  может  переуступать,   изменять,аннулировать   или  приостанавливать  действие  Операционного  руководства   безполучения предварительного разрешения Ассоциации. Помимо прочего, в Операционномруководстве  освещаются  следующие вопросы: (а)  критерии  определения  прав  наполучение общинных грантов и реализацию микропроектов; (Ь) принципы и процедуры,которые  необходимо  соблюдать  для  получения  одобрения  общинных  грантов   имикропроектов; (с) региональное распределение грантовых средств; (d)  требованияв  отношении  взноса сообществ в реализуемые микропроекты; и (е) индикаторы  дляиспользования Агентством реализации проекта при мониторинге прогресса реализациипроекта.      3.      Получатель  должен  принимать  сам,  и  должен  обеспечить   принятиеАгентством  реализации проекта всех мер, необходимых для обеспечения  реализацииПроекта таким образом, чтобы способствовать прозрачности и подотчетности и,  дляэтого,   должен  к  1  ноября  2006  г (</w:t>
      </w:r>
      <w:hyperlink w:history="1" r:id="rId9hegvotiqlzdyuuso3ted">
        <w:r>
          <w:rPr>
            <w:rFonts w:ascii="Arial" w:cs="Arial" w:eastAsia="Arial" w:hAnsi="Arial"/>
            <w:color w:val="1D4ED8"/>
            <w:sz w:val="24"/>
            <w:szCs w:val="24"/>
            <w:u w:val="single"/>
          </w:rPr>
          <w:t xml:space="preserve">прим-2</w:t>
        </w:r>
      </w:hyperlink>
      <w:r>
        <w:rPr>
          <w:rFonts w:ascii="Arial" w:cs="Arial" w:eastAsia="Arial" w:hAnsi="Arial"/>
          <w:sz w:val="24"/>
          <w:szCs w:val="24"/>
        </w:rPr>
        <w:t xml:space="preserve">)  включить  в  Операционное   руководствосоответствующие меры, удовлетворяющие требованиям Ассоциации.      Раздел II.         Мониторинг, отчетность и оценка проекта      А.         Отчетность по проекту      Получатель,  через  Агентство реализации проекта, обеспечивает  мониторинг  иоценку   прогресса  реализации  проекта  и  составляет  Отчеты  по   проекту   всоответствии   с  положениями  Раздела  4.08  Общих  условий  и   на   основаниисогласованных  с  Ассоциацией  индикаторов.  Каждый  такой  Отчет   по   проектуохватывает  период  продолжительностью в  один  календарный  квартал,  и  долженнаправляться  Ассоциации в течение сорока пяти (45) дней  с  момента  завершенияохватываемого таким отчетом периода.      В.         Финансовый менеджмент, финансовая отчетность и аудит      1.    Получатель   обеспечивает,  напрямую или  через  Агентство  реализациипроекта,  работу  системы  управления финансами  в  соответствии  с  положениямиРаздела 4-09 Общих условий.      2. Без каких-либо ограничений в отношении положений Части «А» данного Раздела,Получатель  составляет и в течение сорока пяти (45) дней  с  момента  завершениякаждого  календарного квартала предоставляет Ассоциации -  в  рамках  Отчета  попроекту  -  промежуточные финансовые отчеты по Проекту, не прошедшие аудиторскуюпроверку,   форма  и  содержание  которых  должны  соответствовать   требованиямАссоциации.      3.   Получатель  обеспечивает проведение аудиторской проверки своих финансовыхотчетов  в  соответствии с положениями Раздела 4.09 (Ь)  Общих  условий.  Каждаяаудиторская    проверка    финансовых   отчетов   должна    охватывать    периодпродолжительностью  в  один  бюджетный  год  Получателя.  Прошедшие  аудиторскуюпроверку финансовые отчеты за каждый период должны предоставляться Ассоциации  втечение шести месяцев с момента завершения соответствующего периода.      4.   Получатель должен обеспечить, чтобы Агентство реализации проекта:      (а)  провело  аудит  системы внутреннего контроля, операционных  процессов  ипроцедур Проекта в первый и третий год (или любой другой период согласованный  сАссоциацией),  в  соответствии с техническим заданием и  независимым  аудитором,которые приемлемы для Ассоциации;      (Ь)предоставило  Ассоциации  как только будут готовыми,  но  не  позднее  чемшесть (6) месяцев после окончания таковых лет (или другой период согласованный сАссоциацией):  (i)  сертифицированные копии оценки аудитом  системы  внутреннегоконтроля,  операционных процессов и процедур отмеченные  в  параграфе  (а)  этойсекции  для такого года (или другой период согласованный с Ассоциацией); и  (ii)мнение упомянутых аудиторов о данных процессах и процедурах, в рамках и деталях,приемлемых    для   Ассоциации,   с   точки   зрения   обеспечения    Получателясоответствующими  учетом,  внутренним контролем и  финансовой  отчетностью,  какпредназначено для Проекта; а также      (с)  предоставило  Ассоциации  другую такую  информацию,  которую  Ассоциацияможет периодически запрашивать, и которая касается системы внутреннего контроля,операционных процессов и процедур, и аудита данной системы внутреннего контроля,операционных процессов и процедур и самих аудиторов.      Раздел III.     Закупки      А.    Общие положения      1. Товары  и работы. Закупка всех необходимых для реализации проекта товаров  и работ,  подлежащих  финансированию  из средств предоставляемого  Финансирова-ния, должна  производиться в соответствии с требованиями,  которые  излагаются, или  на которые  дается  ссылка в Разделе I Руководства по закупкам, и в соот-ветствии  с положениями настоящего Приложения.      2.     Услуги консультантов. Закупка всех необходимых для реализации  проектауслуг  консультантов,  подлежащих  финансированию  из  средств  предоставляемогоФинансирования,  должна  производиться в соответствии  с  требованиями,  которыеизлагаются, или на которые дается ссылка в Разделах I и IV Руководства по отборуконсультантов, и в соответствии с положениями настояшего Приложения.      3.      Определения.   Обозначенные  заглавными  буквами   термины,   которыеиспользуются  в  данном  Приложении для описания  частных  методов  закупок  илиметодов  оценки  Ассоциацией отдельных коктрактов, относятся  к  соответствующимметодам,  описываемым  в  Руководстве  по закупкам  или  Руководстве  по  отборуконсультантов, в зависимости от обстоятельств.      В.         Частные методы закупки товаров и работ      1.     Национальные  конкурсные торги. Если иное не предусмотрено  пунктом  2(см ниже), товары и работы, стоимостью более 100,000 (ста тысяч) долларов США  вэквиваленте за один контракт закупаются по контрактам, заключаемым на  основанииНациональных конкурсных торгов а соответствни со следующими положениями:      Регистрация и лицензирование      (i)       Торги       не       должны      ограничиваться      предварительнозарегистрированными/лицензированными фирмами.      (ii)     В   том  случае,  если  требуется  регистрация  или  лицензирование,участникам  торгов:  (i)  должно  быть  предоставлено  достаточное   время   длязавершения  процесса  регистрации  или лицензирования;  и  (ii)  не  может  бытьотказано   в   регистрации/лицензировании  по  причинам,  не  связанным   с   ихвозможностями и средствами для успешного исполнения контракта, что  должно  бытьопределено в процессе последующей квалификации.      (iii)  Не  допускается  исключение участия иностранных  субъектов.  В  случаенеобходимости прохождения регистрации или лицензирования, иностранному участникуторгов,  предложившему заявку с наименьшей стоимостью, должна быть предоставленаприемлемая возможность прохождения регистрации или получения лицензии.      В.         Объявление о проведении торгов      Приглашения  к  участию  в  торгах публикуются  в  Бюллетене  государственныхзакупок  и,  по  меньшей мере, в одной (1) ежедневной газете, выходящей  крупнымтиражом на территории всей страны, с предоставлением, как минимум, тридцати (30)дней на подготовку и представление заявок.      С.         Предварительная квалификация      В  том  случае,  когда  для  проведения крупномасштабных  или  сложных  работтребуется    предварительная   квалификация,   приглашения   к   предварительнойквалификации  для  участия в торгах публикуются, по меньшей мере,  в  одной  (1)ежедневной  газете,  выходящей крупным тиражом на территории  всей  страны,  какминимум  за  30  дней  до  крайнего  срока представления  заявок  на  участие  впредварительном  квалификационном  отборе. В  документации  для  предварительнойквалификации необходимо указать минимальные технические и финансовые требования,наряду с минимальными требованиями в отношении опыта.      D. Участие предприятий. которыми владеет государство      Предприятия Кыргызской Республики, которыми владеет государство, должны  бытьдопущены к участию в торгах только лишь в том случае, если они могут подтвердитьсвою  юридическую  и финансовую независимость, действуют на основании  торговогоправа, и не являются зависимыми агентствами заказчика. Кроме этого, к ним  будутприменяться те же требования в отношении заявок и обеспечения, что  и  к  другимучастникам торгов.      Е. Тендерная документация      Закупающие   организации   обязаны   использовать   соответствующую   типовуютендерную  документацию при закупке отвечающих требованиям  Ассоциации  товаров,работ и услуг.      Вскрытие и оценка заявок      (i)  Вскрытие  заявок  производится  публично,  сразу  же  после  наступлениякрайнего срока подачи заявок.      (ii)  Оценка заявок производится со строгим соблюдением измеримых в  денежнойформе критериев, заявленных в тендерной документации.      (iii) Не допускается предпочтение отечественных товаров и подрядчиков.      (iV)   Контракт  заключается  с  квалифицированным  заемщиком,  представившимотвечающую установленным требованиям  заявку с наименьшей стоимостью; переговорыне допускаются.      G.   Изменение цены       Контракты  на  выполнение  строительных работ на длительный  срок  (например,более чем на 18 месяцев) должны содержать соответствующее положение об изменениицены.      H.   Отклонение заявок       Не   допускается   отклонение   заявок  или   принятие   новых   заявок   безпредварительного согласования с Ассоциацией.      1.    Отклонение иидивидуальной заявки      Индивидуальная заявка отклоняется только лишь в следующих случаях:      (i)   Участник не прошел квалификационный отбор;      (ii)   Участник  не  выполняет  рекомендации  Тендерной  комиссии  закупающейорганизации по исправлению арифметической ошибки в своей заявке;      (iii)     Участник не удовлетворяет требованиям тендерной документации; или      (iv) В условиях, предусматриваемых Статьей 6 </w:t>
      </w:r>
      <w:hyperlink w:history="1" r:id="rIdmrbrf8fwgwbd1o0aurp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«Огосударственных закупках».      J.     При  проведении  торгов  и оценке заявок по контрактам  на  выполнениестроительных работ не используются государственные удельные расценки.      2.     Прочие методы закупки товаров и работ. В данной таблице указаны методызакупок, отличные от Национальных конкурсных торгов, которые могут использоватьсядля  закупки  товаров  и  работ.  В Плане закупок указываются  обстоятельства,  вкоторых могут использоваться такие методы:_______________________________________________________   |                         Метод закупок                ||______________________________________________________||   (а) Закупки в свободной торговле                   ||______________________________________________________||   (b) Закупка с участием сообщества                  ||______________________________________________________||   (c) Прямые контракты                               ||______________________________________________________|      С.    Частные методы закупки услуг консультантов      1.     Отбор  по  критериям  цены  и качества.  Если  иное  не  предусмотренопараграфом  2  данного  Раздела, услуги консультантов  закупаются  на  основанииконтрактов, присуждаемых по результатам Отбора по критериям цены и качества.      2.     Иные  методы закупок услуг консультантов. В следующей таблице  указаныметоды  закупок, отличные от Отбора по критериям цены и качества, которые  могутиспользоваться  для  закупки услуг консультантов. В  Плане  закупок  указываютсяобстоятельства, в которых могут использоваться такие методы._______________________________________________________   |                         Метод закупок                ||______________________________________________________||   (а) Отбор на оснавании квалификации консультантов  ||______________________________________________________||   (b) Индивидуальные консультанты                    ||______________________________________________________||   (c) Выбор единого источника                        ||______________________________________________________|      D.    Рассмотрение Банком решений о закупках      В   Плане   закупок  должны  быть  указаны  те  контракты,  которые  подлежатПредварительному  рассмотрению  Ассоциацией. Все  остальные  контракты  подлежатПоследующему рассмотрению Ассоциацией.      Раздел IV  Выборка средств финансирования      А.    Общие положения      1.      Получатель   может  производить  выборку  средств  Финансирования   всоответствии  с  положениями  Статьи  2  Общих  условий,  данным   Разделом,   идополнительными инструкциями, которые могут быть отдельно указаны Банком в формеуведомления Получателя, в целях финансирования допустимых расходов, указанных  втаблице, которая представлена ниже в параграфе 2.      2.     В  следующей  таблице указаны категории допустимых  расходов,  которыемогут  покрываться  из средств Финансирования («Категории»), распределение  суммФинансирования по каждой из Категорий, а также процентная доля расходов, которыемогут покрываться из средств Финансирования по каждой Категории:   ______________________________________________________________________   |        Категория          |  Выделенная   |      % расходов,        ||                           |    сумма      |      подлежащих         ||                           |финансирования,|     финансированию      ||                           |(выраженная в  |                         ||                           |     СПЗ)      |                         ||___________________________|_______________|_________________________|   |                           |               |                         ||   (1)   Товары,  работы,  |   990 000     |    100%                 ||обучение  и  операционные  |               |                         ||расходы                    |               |                         ||___________________________|_______________|_________________________|   |                           |               |                         ||  (2)  Услуги              |  1100 000     |   100% местных          |  |консультантов,    включая  |               |        расходов и       ||аудиторские  проверки   и  |               |   90%  иностранных      ||обзоры деятельности        |               |        расходов         ||___________________________|_______________|_________________________|   |                           |               |                         ||   (3)  Гранты             |  7 975 000    |    100%                 ||        сообществам,       |               |                         ||предусматриваемые  Частью  |               |                         ||        II Проекта         |               |                         ||___________________________|_______________|_________________________|   |                           |               |                         ||   (4)  Нераспределенные   |   35 000      |                         ||        средства           |               |                         ||___________________________|_______________|_________________________|   |                           |               |                         ||   ОБЩАЯ СУММА             |  10 100 000   |                         ||___________________________|_______________|_________________________|         В.    Условия выборки средств; Период выборки средств.      2.    Датой закрытия является  30 июня 2011 года      1.     Независимо  от  положений Части А настоящего Раздела,  не  допускаетсявыборка  средств  для  осуществления платежей до  наступления  срока  подписаниянастоящего Соглашения.                                                                         ДОПОЛНЕНИЕ                                                                                   Раздел I. Определения      1.     "Сообщество-бенефициар"  -  правомочное сообщество,  которое  являетсяполучателем,  или  которому предложено бытъ получателем гранта  для  сообщества,предусматриваемого  Частью  II  Проекта,  для  реализации  Инвестиционного  планасообщества.      2.     "Категория"  - категории (1), (2), (3) и (4), указанные  в  таблице  вРазделе IV </w:t>
      </w:r>
      <w:hyperlink w:history="1" r:id="rIdjgmdbzr9__zc16gpwk2o5">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3.     "Участник  софинансирования" - Правительство Соединенного  КоролевстваВеликобритании   и  Северной  Ирландии,  действующее  через  свое   Министерствомеждународного  развития,  и  намеревающееся  предоставить  финансирование   дляПроекта.      4.     "Грант  для  Сообщества" - грант, предоставленный, или предлагаемый  кпредоставлению,  правомочному сообществу из средств  Гранта  для  финансированиярасходов   на  приобретение  товаров,  работ  и  услуг  консультантов,   которыенеобходимы  для  реализации Инвестиционного плана сообщества  в  соответствии  сЧастью II Проекта;      5.      "Соглашение   о   гранте   для   сообщества"   -   соглашение   междусоответствующим   исполнительным   комитетом   территориального   инвестиционногообъединения, соответствующим сельским советом и Агентством реализации проекта повопросу о предоставлении Сообществу- бенефициару гранта для сообщества.      6.     "Инвестиционный  план сообщества" - инвестиционный план,  составленныйправомочным  сообществом в соответствии с принципами, процедурами  и  критериямиприемлемости,  определенными  в  Операционном  руководстве,  финансируемый   илипредложенный к финансированию из средств гранта для сообщества.      7.     "Руководство по отбору консультантов" - "Руководство по отбору и наймуконсультантов  заемщиками Всемирного Банка", опубликованное Всемирным  Банком  вмае 2004 года.      8.     "Общие условия" - "Общие условия Международной Ассоциации Развития длякредитов и грантов" от 1 июля 2005 года, с последующими изменениями, излагаемымив Разделе II настоящего Дополнения.      9.     Соглашение  о  софинансировании с DFID" - соглашение,  которое  должнобыть  заключено  между  Получателем и Ассоциацией,  выступающей  администраторомгрантовых   средств,  предоставляемых  Правительством  Соединенного  КоролевстваВеликобритании   Северной   Ирландии,  действующим   через   свое   Министерствомеждународного развития.      10.    "Софинансирование  DFID  " - финансирование  Проекта,  предоставленноеПравительством  Соединенного  Королевства Великобритании  и  Северной  Ирландии,действующим через свое Министерство международного развития.      11.   "Микропроект" - микропроект, включенный или предложенный к включению  вПлан   инвестирования  сообщества  в  рамках  Части  В  Проекта   и   подлежащийфинансированию из средств гранта для сообщества.      12.    "Минэкономфин"  -  Министерство экономики и  финансов  Получателя  илилюбого его правопреемника или правопреемников.      13.    "Руководство по закупкам" - "Руководство по закупкам в  рамках  займовМБРР и кредитов МАР", опубликованное Всемирным Банком в мае 2004 года.      14.    "План  закупок" - план закупок Получателя по Проекту, датированный  27июня  2006  года, о котором говорится в пункте 1.16 Руководства  по  закупкам  ипункте  1.24  Руководства по отбору консультантов, с учетом обновлений,  которыемогут вноситься в такой план в соответствии с положениями означенных пунктов.      15.    Агентство  реализации  проекта — Агентство развития  и  инвестированиясообществ, ответственное за реализацию проекта.      16.       "Операционное     Руководство"    -    коллективное     обозначениеАдминистративного руководства, Руководства по управлению финансами,  Руководствапо  управлению  финансами для сообществ, Руководство по закупкам для  сообществ,Руководства  по  экологическим аспектам микропроектов,  о  которых  говорится  вРазделе  1.2  Приложения 2 к настоящему Соглашению, и в которые могут,  по  меренеобходимости, вноситься изменения.      17.     "Операционные   расходы"  -  дополнительные   операционные   расходы,понесенные  Агентством  реализаиии  проекта  в  ходе  реализации,  управления  имониторинга  Проекта,  включая выплату заработной платы сотрудникам,  социальныесборы, аренду и содержание офисного помещения, оборудование и материалы, расходына  коммуникационные  услуги,  эксплуатацию информационных  систем,  расходы  напереводческие  услуги,  банковские  сборы,  транспортные  расходы   и   суточныесотрудников   Агентства  реализации  проекта  и  другие  обоснованные   расходы,непосредственно  связанные с реализацией деятельности Проекта  и  основанные  наежегодном бюджете, приемлемом для Ассоциации.   18.  "Субсидиарное соглашение о гранте" - соглашение, которое будет заключеномежду Получателем и Агентством реализации проекта в соответствии с Разделом 3.01(Ь)  настоящего  Соглашения; в Субсидиарное соглашение о гранте могут,  по  меренеобходимости, вноситься поправки; данный термин включает в себя все  приложенияк Субсидиарному соглашению о гранте.   19.  "Обучение" - расходы на связанные с Проектом обучающие поездки,  учебныекурсы,  семинары,  практические занятия и другие  учебные  мероприятия,  включаятранспортные расходы и выплату суточных инструкторам и участникам обучения.      </w:t>
      </w:r>
      <w:r>
        <w:rPr>
          <w:rFonts w:ascii="Arial" w:cs="Arial" w:eastAsia="Arial" w:hAnsi="Arial"/>
          <w:sz w:val="24"/>
          <w:szCs w:val="24"/>
        </w:rPr>
        <w:t xml:space="preserve">   Прим:1.  Обшая  сумма Гранта составляет 15 млм. долл. США;  эта  сумма  будет</w:t>
      </w:r>
      <w:r>
        <w:rPr>
          <w:rFonts w:ascii="Arial" w:cs="Arial" w:eastAsia="Arial" w:hAnsi="Arial"/>
          <w:sz w:val="24"/>
          <w:szCs w:val="24"/>
        </w:rPr>
        <w:t xml:space="preserve">конвертирована в СПЗ в рамках переговоров.</w:t>
      </w:r>
      <w:r>
        <w:rPr>
          <w:rFonts w:ascii="Arial" w:cs="Arial" w:eastAsia="Arial" w:hAnsi="Arial"/>
          <w:sz w:val="24"/>
          <w:szCs w:val="24"/>
        </w:rPr>
        <w:t xml:space="preserve">   Прим: 2. Дата будет согласована во время переговоров.</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e4x2r-2a5hejwygjmxd">
      <w:r>
        <w:rPr>
          <w:rFonts w:ascii="Arial" w:cs="Arial" w:eastAsia="Arial" w:hAnsi="Arial"/>
          <w:color w:val="132D3F"/>
          <w:sz w:val="16"/>
          <w:szCs w:val="16"/>
          <w:u w:val="single"/>
        </w:rPr>
        <w:t xml:space="preserve">dalil.kg/document/18646</w:t>
      </w:r>
    </w:hyperlink>
  </w:p>
  <w:p>
    <w:pPr>
      <w:spacing w:after="0" w:before="40"/>
      <w:jc w:val="center"/>
    </w:pPr>
    <w:hyperlink w:history="1" r:id="rIdtkwkar6szuygj8mr1bmz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slulm2qybpjinkotsjp" Type="http://schemas.openxmlformats.org/officeDocument/2006/relationships/hyperlink" Target="https://dalil.kg/document/18643" TargetMode="External"/><Relationship Id="rIdd0ch7mxv26xcdobnamgdq" Type="http://schemas.openxmlformats.org/officeDocument/2006/relationships/hyperlink" Target="https://dalil.kg/document/18646#1" TargetMode="External"/><Relationship Id="rIduxmmg7xzmpsdvlutvhfcf" Type="http://schemas.openxmlformats.org/officeDocument/2006/relationships/hyperlink" Target="https://dalil.kg/document/18646#a" TargetMode="External"/><Relationship Id="rId_vylnsp96w11vlzmoln8r" Type="http://schemas.openxmlformats.org/officeDocument/2006/relationships/hyperlink" Target="https://dalil.kg/document/18646#b" TargetMode="External"/><Relationship Id="rId6f-unqbcsgucwibbumsrg" Type="http://schemas.openxmlformats.org/officeDocument/2006/relationships/hyperlink" Target="https://dalil.kg/document/18646#b" TargetMode="External"/><Relationship Id="rIdoqc5kbrxaytng6ecjy57u" Type="http://schemas.openxmlformats.org/officeDocument/2006/relationships/hyperlink" Target="https://dalil.kg/document/4330" TargetMode="External"/><Relationship Id="rId9hegvotiqlzdyuuso3ted" Type="http://schemas.openxmlformats.org/officeDocument/2006/relationships/hyperlink" Target="https://dalil.kg/document/18646#2" TargetMode="External"/><Relationship Id="rIdmrbrf8fwgwbd1o0aurpdw" Type="http://schemas.openxmlformats.org/officeDocument/2006/relationships/hyperlink" Target="https://dalil.kg/document/1455" TargetMode="External"/><Relationship Id="rIdjgmdbzr9__zc16gpwk2o5" Type="http://schemas.openxmlformats.org/officeDocument/2006/relationships/hyperlink" Target="https://dalil.kg/document/18646#b"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e4x2r-2a5hejwygjmxd" Type="http://schemas.openxmlformats.org/officeDocument/2006/relationships/hyperlink" Target="https://dalil.kg/document/18646" TargetMode="External"/><Relationship Id="rIdtkwkar6szuygj8mr1bmz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2026-10-02T23:23:51.012Z</dcterms:created>
  <dcterms:modified xsi:type="dcterms:W3CDTF">2026-10-02T23:23:51.012Z</dcterms:modified>
</cp:coreProperties>
</file>

<file path=docProps/custom.xml><?xml version="1.0" encoding="utf-8"?>
<Properties xmlns="http://schemas.openxmlformats.org/officeDocument/2006/custom-properties" xmlns:vt="http://schemas.openxmlformats.org/officeDocument/2006/docPropsVTypes"/>
</file>