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z6eouypx-wfhlktubdp2p">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КР 
 от 24 марта 2020 года № 39-нпа</w:t>
      </w:r>
    </w:p>
    <w:p>
      <w:pPr>
        <w:spacing w:after="120"/>
        <w:jc w:val="right"/>
      </w:pPr>
      <w:r>
        <w:rPr>
          <w:rFonts w:ascii="Arial" w:cs="Arial" w:eastAsia="Arial" w:hAnsi="Arial"/>
          <w:sz w:val="24"/>
          <w:szCs w:val="24"/>
        </w:rPr>
        <w:t xml:space="preserve">Утвержден приказом Государственного агентства архитектуры, строительства ижилищно-коммунальногохозяйства при ПравительствеКыргызской Республикиот «27» мая 2016 года № 6-нпа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 ПРАВИЛ </w:t>
      </w:r>
    </w:p>
    <w:p>
      <w:pPr>
        <w:spacing w:after="240" w:before="200"/>
        <w:jc w:val="center"/>
      </w:pPr>
      <w:r>
        <w:rPr>
          <w:rFonts w:ascii="Arial" w:cs="Arial" w:eastAsia="Arial" w:hAnsi="Arial"/>
          <w:b/>
          <w:bCs/>
          <w:sz w:val="32"/>
          <w:szCs w:val="32"/>
        </w:rPr>
        <w:t xml:space="preserve">по планировке и застройке</w:t>
      </w:r>
    </w:p>
    <w:p>
      <w:pPr>
        <w:spacing w:after="240" w:before="200"/>
        <w:jc w:val="center"/>
      </w:pPr>
      <w:r>
        <w:rPr>
          <w:rFonts w:ascii="Arial" w:cs="Arial" w:eastAsia="Arial" w:hAnsi="Arial"/>
          <w:b/>
          <w:bCs/>
          <w:sz w:val="32"/>
          <w:szCs w:val="32"/>
        </w:rPr>
        <w:t xml:space="preserve">городов и населенных пунктов городского типа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Настоящий свод правил распространяется на проектирование новых и реконструкцию существующих городских населенных пунктов, и включает основные требования, предъявляемые на территории Кыргызской Республики принципы и порядок по вопросам планировки, застройки городов и населенных пунктов городского типа.</w:t>
      </w:r>
    </w:p>
    <w:p>
      <w:pPr>
        <w:spacing w:after="120"/>
        <w:ind w:firstLine="397"/>
        <w:jc w:val="both"/>
      </w:pPr>
      <w:r>
        <w:rPr>
          <w:rFonts w:ascii="Arial" w:cs="Arial" w:eastAsia="Arial" w:hAnsi="Arial"/>
          <w:sz w:val="24"/>
          <w:szCs w:val="24"/>
        </w:rPr>
        <w:t xml:space="preserve">1.2. Законы Кыргызской Республики от </w:t>
      </w:r>
      <w:hyperlink w:history="1" r:id="rIdmxl6f9d2qkew198tijukr">
        <w:r>
          <w:rPr>
            <w:rFonts w:ascii="Arial" w:cs="Arial" w:eastAsia="Arial" w:hAnsi="Arial"/>
            <w:color w:val="1D4ED8"/>
            <w:sz w:val="24"/>
            <w:szCs w:val="24"/>
            <w:u w:val="single"/>
          </w:rPr>
          <w:t xml:space="preserve">11 января 1994 года № 1372-XII</w:t>
        </w:r>
      </w:hyperlink>
      <w:r>
        <w:rPr>
          <w:rFonts w:ascii="Arial" w:cs="Arial" w:eastAsia="Arial" w:hAnsi="Arial"/>
          <w:sz w:val="24"/>
          <w:szCs w:val="24"/>
        </w:rPr>
        <w:t xml:space="preserve"> «О градостроительстве и архитектуре Кыргызской Республики», от </w:t>
      </w:r>
      <w:hyperlink w:history="1" r:id="rIdosu2qnkd4wiamp4buoa-c">
        <w:r>
          <w:rPr>
            <w:rFonts w:ascii="Arial" w:cs="Arial" w:eastAsia="Arial" w:hAnsi="Arial"/>
            <w:color w:val="1D4ED8"/>
            <w:sz w:val="24"/>
            <w:szCs w:val="24"/>
            <w:u w:val="single"/>
          </w:rPr>
          <w:t xml:space="preserve">21 декабря 1991 года № 689-XII</w:t>
        </w:r>
      </w:hyperlink>
      <w:r>
        <w:rPr>
          <w:rFonts w:ascii="Arial" w:cs="Arial" w:eastAsia="Arial" w:hAnsi="Arial"/>
          <w:sz w:val="24"/>
          <w:szCs w:val="24"/>
        </w:rPr>
        <w:t xml:space="preserve">, «Об индивидуальном жилищном строительстве в Кыргызской Республике», а также законодательные акты в сфере архитектуры, градостроительства и строительства, нормы и правила по градостроительству, строительству, стандарты, инструкции, указания и иные издаваемые акты, касающиеся к сферу градостроительства являются составными частями настоящего свода правил и применяются в совокупности. </w:t>
      </w:r>
    </w:p>
    <w:p>
      <w:pPr>
        <w:spacing w:after="120"/>
        <w:ind w:firstLine="397"/>
        <w:jc w:val="both"/>
      </w:pPr>
      <w:r>
        <w:rPr>
          <w:rFonts w:ascii="Arial" w:cs="Arial" w:eastAsia="Arial" w:hAnsi="Arial"/>
          <w:sz w:val="24"/>
          <w:szCs w:val="24"/>
        </w:rPr>
        <w:t xml:space="preserve">1.3. Строительство новых и реконструкция существующих городов и населенных пунктов городского типа должно осуществляться в соответствии с генеральными планами, проектами детальной планировки, проектами застройки, утвержденными в установленном порядке.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Область применения настоящего свода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Населенные пункты городского типа (город, рабочие, курортные и другие) следует проектировать по нормам, установленным для малых городов с такой же расчетной численностью населения.</w:t>
      </w:r>
    </w:p>
    <w:p>
      <w:pPr>
        <w:spacing w:after="120"/>
        <w:ind w:firstLine="397"/>
        <w:jc w:val="both"/>
      </w:pPr>
      <w:r>
        <w:rPr>
          <w:rFonts w:ascii="Arial" w:cs="Arial" w:eastAsia="Arial" w:hAnsi="Arial"/>
          <w:sz w:val="24"/>
          <w:szCs w:val="24"/>
        </w:rPr>
        <w:t xml:space="preserve">2.2. Населенные пункты находящихся вне городов предприятиях и объектах, не имеющие статуса населенных пунктов, следует проектировать по ведомственным нормативным документам, а при отсутствии таких норм, по нормам установленным для сельских населенных пунктов, с такой же расчетной численностью населения.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Основные понятия используемые в настоящем своде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документе применяются следующие термины с соответствующим определением:</w:t>
      </w:r>
    </w:p>
    <w:p>
      <w:pPr>
        <w:spacing w:after="120"/>
        <w:ind w:firstLine="397"/>
        <w:jc w:val="both"/>
      </w:pPr>
      <w:r>
        <w:rPr>
          <w:rFonts w:ascii="Arial" w:cs="Arial" w:eastAsia="Arial" w:hAnsi="Arial"/>
          <w:b/>
          <w:bCs/>
          <w:sz w:val="24"/>
          <w:szCs w:val="24"/>
        </w:rPr>
        <w:t xml:space="preserve">архитектурная документация (архитектурный проект)</w:t>
      </w:r>
      <w:r>
        <w:rPr>
          <w:rFonts w:ascii="Arial" w:cs="Arial" w:eastAsia="Arial" w:hAnsi="Arial"/>
          <w:sz w:val="24"/>
          <w:szCs w:val="24"/>
        </w:rPr>
        <w:t xml:space="preserve"> -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ind w:firstLine="397"/>
        <w:jc w:val="both"/>
      </w:pPr>
      <w:r>
        <w:rPr>
          <w:rFonts w:ascii="Arial" w:cs="Arial" w:eastAsia="Arial" w:hAnsi="Arial"/>
          <w:b/>
          <w:bCs/>
          <w:sz w:val="24"/>
          <w:szCs w:val="24"/>
        </w:rPr>
        <w:t xml:space="preserve">архитектурно-планировочные условия (АПУ)</w:t>
      </w:r>
      <w:r>
        <w:rPr>
          <w:rFonts w:ascii="Arial" w:cs="Arial" w:eastAsia="Arial" w:hAnsi="Arial"/>
          <w:sz w:val="24"/>
          <w:szCs w:val="24"/>
        </w:rPr>
        <w:t xml:space="preserve"> – документ, выдаваемый территориальными органами архитектуры и градостроительства, содержащий архитектурные условия и требования, к функциональному назначению, размещению и основным параметрам объекта строительства, а также технические условия на подключение к инженерным сетям, санитарные, противопожарные, экологические условия и ограничения к проектированию объекта в соответствии с градостроительной документацией;</w:t>
      </w:r>
    </w:p>
    <w:p>
      <w:pPr>
        <w:spacing w:after="120"/>
        <w:ind w:firstLine="397"/>
        <w:jc w:val="both"/>
      </w:pPr>
      <w:r>
        <w:rPr>
          <w:rFonts w:ascii="Arial" w:cs="Arial" w:eastAsia="Arial" w:hAnsi="Arial"/>
          <w:b/>
          <w:bCs/>
          <w:sz w:val="24"/>
          <w:szCs w:val="24"/>
        </w:rPr>
        <w:t xml:space="preserve">генеральный план населенных пунктов</w:t>
      </w:r>
      <w:r>
        <w:rPr>
          <w:rFonts w:ascii="Arial" w:cs="Arial" w:eastAsia="Arial" w:hAnsi="Arial"/>
          <w:sz w:val="24"/>
          <w:szCs w:val="24"/>
        </w:rPr>
        <w:t xml:space="preserve"> – градостроительная документация о перспективном градостроительном планировании развития территорий населенных пунктов;</w:t>
      </w:r>
    </w:p>
    <w:p>
      <w:pPr>
        <w:spacing w:after="120"/>
        <w:ind w:firstLine="397"/>
        <w:jc w:val="both"/>
      </w:pPr>
      <w:r>
        <w:rPr>
          <w:rFonts w:ascii="Arial" w:cs="Arial" w:eastAsia="Arial" w:hAnsi="Arial"/>
          <w:b/>
          <w:bCs/>
          <w:sz w:val="24"/>
          <w:szCs w:val="24"/>
        </w:rPr>
        <w:t xml:space="preserve">генеральный план объекта</w:t>
      </w:r>
      <w:r>
        <w:rPr>
          <w:rFonts w:ascii="Arial" w:cs="Arial" w:eastAsia="Arial" w:hAnsi="Arial"/>
          <w:sz w:val="24"/>
          <w:szCs w:val="24"/>
        </w:rPr>
        <w:t xml:space="preserve"> -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ind w:firstLine="397"/>
        <w:jc w:val="both"/>
      </w:pP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397"/>
        <w:jc w:val="both"/>
      </w:pPr>
      <w:r>
        <w:rPr>
          <w:rFonts w:ascii="Arial" w:cs="Arial" w:eastAsia="Arial" w:hAnsi="Arial"/>
          <w:b/>
          <w:bCs/>
          <w:sz w:val="24"/>
          <w:szCs w:val="24"/>
        </w:rPr>
        <w:t xml:space="preserve">городская агломерация</w:t>
      </w:r>
      <w:r>
        <w:rPr>
          <w:rFonts w:ascii="Arial" w:cs="Arial" w:eastAsia="Arial" w:hAnsi="Arial"/>
          <w:sz w:val="24"/>
          <w:szCs w:val="24"/>
        </w:rPr>
        <w:t xml:space="preserve"> - компактная пространственная группировка населенных пунктов (главным образом городских), объединенных в одно целое интенсивными производственными, трудовыми, культурно-бытовыми и рекреационными связями с конкретным городом-центром;</w:t>
      </w:r>
    </w:p>
    <w:p>
      <w:pPr>
        <w:spacing w:after="120"/>
        <w:ind w:firstLine="397"/>
        <w:jc w:val="both"/>
      </w:pPr>
      <w:r>
        <w:rPr>
          <w:rFonts w:ascii="Arial" w:cs="Arial" w:eastAsia="Arial" w:hAnsi="Arial"/>
          <w:b/>
          <w:bCs/>
          <w:sz w:val="24"/>
          <w:szCs w:val="24"/>
        </w:rPr>
        <w:t xml:space="preserve">городская, поселковая черта, черта населенного пункта</w:t>
      </w:r>
      <w:r>
        <w:rPr>
          <w:rFonts w:ascii="Arial" w:cs="Arial" w:eastAsia="Arial" w:hAnsi="Arial"/>
          <w:sz w:val="24"/>
          <w:szCs w:val="24"/>
        </w:rPr>
        <w:t xml:space="preserve"> – внешняя граница, отделяющая земли города и другого населенного пункта от иных категорий земель и земельного фонда;</w:t>
      </w:r>
    </w:p>
    <w:p>
      <w:pPr>
        <w:spacing w:after="120"/>
        <w:ind w:firstLine="397"/>
        <w:jc w:val="both"/>
      </w:pPr>
      <w:r>
        <w:rPr>
          <w:rFonts w:ascii="Arial" w:cs="Arial" w:eastAsia="Arial" w:hAnsi="Arial"/>
          <w:b/>
          <w:bCs/>
          <w:sz w:val="24"/>
          <w:szCs w:val="24"/>
        </w:rPr>
        <w:t xml:space="preserve">государственный градостроительный кадастр</w:t>
      </w:r>
      <w:r>
        <w:rPr>
          <w:rFonts w:ascii="Arial" w:cs="Arial" w:eastAsia="Arial" w:hAnsi="Arial"/>
          <w:sz w:val="24"/>
          <w:szCs w:val="24"/>
        </w:rPr>
        <w:t xml:space="preserve"> - единая система количественных и качественных показателей, включающих картографическую, статистическую и текстовую информацию, характеризующую территорию градостроительного регулирования по признакам социально-правового режима ее использования, по архитектурно-планировочным параметрам зданий и сооружений, по уровню инженерно-технической оснащенности, ресурсообеспеченности и состоянию окружающей среды;</w:t>
      </w:r>
    </w:p>
    <w:p>
      <w:pPr>
        <w:spacing w:after="120"/>
        <w:ind w:firstLine="397"/>
        <w:jc w:val="both"/>
      </w:pPr>
      <w:r>
        <w:rPr>
          <w:rFonts w:ascii="Arial" w:cs="Arial" w:eastAsia="Arial" w:hAnsi="Arial"/>
          <w:b/>
          <w:bCs/>
          <w:sz w:val="24"/>
          <w:szCs w:val="24"/>
        </w:rPr>
        <w:t xml:space="preserve">государственные нормативы (государственные нормативные документы)</w:t>
      </w:r>
      <w:r>
        <w:rPr>
          <w:rFonts w:ascii="Arial" w:cs="Arial" w:eastAsia="Arial" w:hAnsi="Arial"/>
          <w:sz w:val="24"/>
          <w:szCs w:val="24"/>
        </w:rPr>
        <w:t xml:space="preserve"> –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ind w:firstLine="397"/>
        <w:jc w:val="both"/>
      </w:pPr>
      <w:r>
        <w:rPr>
          <w:rFonts w:ascii="Arial" w:cs="Arial" w:eastAsia="Arial" w:hAnsi="Arial"/>
          <w:b/>
          <w:bCs/>
          <w:sz w:val="24"/>
          <w:szCs w:val="24"/>
        </w:rPr>
        <w:t xml:space="preserve">гостевые стоянки (паркинги)</w:t>
      </w:r>
      <w:r>
        <w:rPr>
          <w:rFonts w:ascii="Arial" w:cs="Arial" w:eastAsia="Arial" w:hAnsi="Arial"/>
          <w:sz w:val="24"/>
          <w:szCs w:val="24"/>
        </w:rPr>
        <w:t xml:space="preserve"> – открытые площадки, предназначенные для временной парковки легковых автомобилей, посетителей объектов посещения;</w:t>
      </w:r>
    </w:p>
    <w:p>
      <w:pPr>
        <w:spacing w:after="120"/>
        <w:ind w:firstLine="397"/>
        <w:jc w:val="both"/>
      </w:pPr>
      <w:r>
        <w:rPr>
          <w:rFonts w:ascii="Arial" w:cs="Arial" w:eastAsia="Arial" w:hAnsi="Arial"/>
          <w:b/>
          <w:bCs/>
          <w:sz w:val="24"/>
          <w:szCs w:val="24"/>
        </w:rPr>
        <w:t xml:space="preserve">градостроительство </w:t>
      </w:r>
      <w:r>
        <w:rPr>
          <w:rFonts w:ascii="Arial" w:cs="Arial" w:eastAsia="Arial" w:hAnsi="Arial"/>
          <w:sz w:val="24"/>
          <w:szCs w:val="24"/>
        </w:rPr>
        <w:t xml:space="preserve">–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ind w:firstLine="397"/>
        <w:jc w:val="both"/>
      </w:pPr>
      <w:r>
        <w:rPr>
          <w:rFonts w:ascii="Arial" w:cs="Arial" w:eastAsia="Arial" w:hAnsi="Arial"/>
          <w:b/>
          <w:bCs/>
          <w:sz w:val="24"/>
          <w:szCs w:val="24"/>
        </w:rPr>
        <w:t xml:space="preserve">градостроительная емкость территории</w:t>
      </w:r>
      <w:r>
        <w:rPr>
          <w:rFonts w:ascii="Arial" w:cs="Arial" w:eastAsia="Arial" w:hAnsi="Arial"/>
          <w:sz w:val="24"/>
          <w:szCs w:val="24"/>
        </w:rPr>
        <w:t xml:space="preserve"> – объем застройки, который соответствует роли и месту территории в планировочной структуре города;</w:t>
      </w:r>
    </w:p>
    <w:p>
      <w:pPr>
        <w:spacing w:after="120"/>
        <w:ind w:firstLine="397"/>
        <w:jc w:val="both"/>
      </w:pPr>
      <w:r>
        <w:rPr>
          <w:rFonts w:ascii="Arial" w:cs="Arial" w:eastAsia="Arial" w:hAnsi="Arial"/>
          <w:b/>
          <w:bCs/>
          <w:sz w:val="24"/>
          <w:szCs w:val="24"/>
        </w:rPr>
        <w:t xml:space="preserve">градостроительные проекты</w:t>
      </w:r>
      <w:r>
        <w:rPr>
          <w:rFonts w:ascii="Arial" w:cs="Arial" w:eastAsia="Arial" w:hAnsi="Arial"/>
          <w:sz w:val="24"/>
          <w:szCs w:val="24"/>
        </w:rPr>
        <w:t xml:space="preserve"> - проекты, содержащие замысел комплексного территориального градостроительного планирования, организации, развития, застройки территорий (населенных пунктов) и узлов или их частей;</w:t>
      </w:r>
    </w:p>
    <w:p>
      <w:pPr>
        <w:spacing w:after="120"/>
        <w:ind w:firstLine="397"/>
        <w:jc w:val="both"/>
      </w:pP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комплекс документов о градостроительном планировании развития и застройки территории и генеральный план города и других населенных пунктов, проект черты города, проекты планировки, межевания, застройки и другие документы, необходимые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ind w:firstLine="397"/>
        <w:jc w:val="both"/>
      </w:pPr>
      <w:r>
        <w:rPr>
          <w:rFonts w:ascii="Arial" w:cs="Arial" w:eastAsia="Arial" w:hAnsi="Arial"/>
          <w:b/>
          <w:bCs/>
          <w:sz w:val="24"/>
          <w:szCs w:val="24"/>
        </w:rPr>
        <w:t xml:space="preserve">градостроительная оценка территории</w:t>
      </w:r>
      <w:r>
        <w:rPr>
          <w:rFonts w:ascii="Arial" w:cs="Arial" w:eastAsia="Arial" w:hAnsi="Arial"/>
          <w:sz w:val="24"/>
          <w:szCs w:val="24"/>
        </w:rPr>
        <w:t xml:space="preserve"> - комплексный многофакторный анализ, результатом которого является оценка и зонирование территории по ее ценности;</w:t>
      </w:r>
    </w:p>
    <w:p>
      <w:pPr>
        <w:spacing w:after="120"/>
        <w:ind w:firstLine="397"/>
        <w:jc w:val="both"/>
      </w:pPr>
      <w:r>
        <w:rPr>
          <w:rFonts w:ascii="Arial" w:cs="Arial" w:eastAsia="Arial" w:hAnsi="Arial"/>
          <w:b/>
          <w:bCs/>
          <w:sz w:val="24"/>
          <w:szCs w:val="24"/>
        </w:rPr>
        <w:t xml:space="preserve">градостроительное (правовое) зонирование</w:t>
      </w:r>
      <w:r>
        <w:rPr>
          <w:rFonts w:ascii="Arial" w:cs="Arial" w:eastAsia="Arial" w:hAnsi="Arial"/>
          <w:sz w:val="24"/>
          <w:szCs w:val="24"/>
        </w:rPr>
        <w:t xml:space="preserve"> –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ind w:firstLine="397"/>
        <w:jc w:val="both"/>
      </w:pP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 </w:t>
      </w:r>
    </w:p>
    <w:p>
      <w:pPr>
        <w:spacing w:after="120"/>
        <w:ind w:firstLine="397"/>
        <w:jc w:val="both"/>
      </w:pPr>
      <w:r>
        <w:rPr>
          <w:rFonts w:ascii="Arial" w:cs="Arial" w:eastAsia="Arial" w:hAnsi="Arial"/>
          <w:b/>
          <w:bCs/>
          <w:sz w:val="24"/>
          <w:szCs w:val="24"/>
        </w:rPr>
        <w:t xml:space="preserve">градостроительные ресурсы</w:t>
      </w:r>
      <w:r>
        <w:rPr>
          <w:rFonts w:ascii="Arial" w:cs="Arial" w:eastAsia="Arial" w:hAnsi="Arial"/>
          <w:sz w:val="24"/>
          <w:szCs w:val="24"/>
        </w:rPr>
        <w:t xml:space="preserve"> -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 человека;</w:t>
      </w:r>
    </w:p>
    <w:p>
      <w:pPr>
        <w:spacing w:after="120"/>
        <w:ind w:firstLine="397"/>
        <w:jc w:val="both"/>
      </w:pPr>
      <w:r>
        <w:rPr>
          <w:rFonts w:ascii="Arial" w:cs="Arial" w:eastAsia="Arial" w:hAnsi="Arial"/>
          <w:b/>
          <w:bCs/>
          <w:sz w:val="24"/>
          <w:szCs w:val="24"/>
        </w:rPr>
        <w:t xml:space="preserve">группа жилой, смешанной жилой застройки</w:t>
      </w:r>
      <w:r>
        <w:rPr>
          <w:rFonts w:ascii="Arial" w:cs="Arial" w:eastAsia="Arial" w:hAnsi="Arial"/>
          <w:sz w:val="24"/>
          <w:szCs w:val="24"/>
        </w:rPr>
        <w:t xml:space="preserve"> –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ind w:firstLine="397"/>
        <w:jc w:val="both"/>
      </w:pPr>
      <w:r>
        <w:rPr>
          <w:rFonts w:ascii="Arial" w:cs="Arial" w:eastAsia="Arial" w:hAnsi="Arial"/>
          <w:b/>
          <w:bCs/>
          <w:sz w:val="24"/>
          <w:szCs w:val="24"/>
        </w:rPr>
        <w:t xml:space="preserve">жилые территории</w:t>
      </w:r>
      <w:r>
        <w:rPr>
          <w:rFonts w:ascii="Arial" w:cs="Arial" w:eastAsia="Arial" w:hAnsi="Arial"/>
          <w:sz w:val="24"/>
          <w:szCs w:val="24"/>
        </w:rPr>
        <w:t xml:space="preserve"> – территории, предназначенные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ind w:firstLine="397"/>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ind w:firstLine="397"/>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ind w:firstLine="397"/>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ind w:firstLine="397"/>
        <w:jc w:val="both"/>
      </w:pPr>
      <w:r>
        <w:rPr>
          <w:rFonts w:ascii="Arial" w:cs="Arial" w:eastAsia="Arial" w:hAnsi="Arial"/>
          <w:sz w:val="24"/>
          <w:szCs w:val="24"/>
        </w:rPr>
        <w:t xml:space="preserve">4) жилые районы;</w:t>
      </w:r>
    </w:p>
    <w:p>
      <w:pPr>
        <w:spacing w:after="120"/>
        <w:ind w:firstLine="397"/>
        <w:jc w:val="both"/>
      </w:pPr>
      <w:r>
        <w:rPr>
          <w:rFonts w:ascii="Arial" w:cs="Arial" w:eastAsia="Arial" w:hAnsi="Arial"/>
          <w:b/>
          <w:bCs/>
          <w:sz w:val="24"/>
          <w:szCs w:val="24"/>
        </w:rPr>
        <w:t xml:space="preserve">жилой район</w:t>
      </w:r>
      <w:r>
        <w:rPr>
          <w:rFonts w:ascii="Arial" w:cs="Arial" w:eastAsia="Arial" w:hAnsi="Arial"/>
          <w:sz w:val="24"/>
          <w:szCs w:val="24"/>
        </w:rPr>
        <w:t xml:space="preserve"> – территория площадью более 60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ind w:firstLine="397"/>
        <w:jc w:val="both"/>
      </w:pPr>
      <w:r>
        <w:rPr>
          <w:rFonts w:ascii="Arial" w:cs="Arial" w:eastAsia="Arial" w:hAnsi="Arial"/>
          <w:b/>
          <w:bCs/>
          <w:sz w:val="24"/>
          <w:szCs w:val="24"/>
        </w:rPr>
        <w:t xml:space="preserve">задание на проектирование</w:t>
      </w:r>
      <w:r>
        <w:rPr>
          <w:rFonts w:ascii="Arial" w:cs="Arial" w:eastAsia="Arial" w:hAnsi="Arial"/>
          <w:sz w:val="24"/>
          <w:szCs w:val="24"/>
        </w:rPr>
        <w:t xml:space="preserve"> – документ, в котором содержатся обоснованные требования заказчика к планировочным, архитектурным, инженерным и технологическим решениям и свойствам объекта градостроительства, его основных параметров, стоимости и организации его строительства, и который составляется в соответствии с градостроительными условиями и ограничениями, технических условий;</w:t>
      </w:r>
    </w:p>
    <w:p>
      <w:pPr>
        <w:spacing w:after="120"/>
        <w:ind w:firstLine="397"/>
        <w:jc w:val="both"/>
      </w:pPr>
      <w:r>
        <w:rPr>
          <w:rFonts w:ascii="Arial" w:cs="Arial" w:eastAsia="Arial" w:hAnsi="Arial"/>
          <w:b/>
          <w:bCs/>
          <w:sz w:val="24"/>
          <w:szCs w:val="24"/>
        </w:rPr>
        <w:t xml:space="preserve">зеленая линия</w:t>
      </w:r>
      <w:r>
        <w:rPr>
          <w:rFonts w:ascii="Arial" w:cs="Arial" w:eastAsia="Arial" w:hAnsi="Arial"/>
          <w:sz w:val="24"/>
          <w:szCs w:val="24"/>
        </w:rPr>
        <w:t xml:space="preserve"> - граница, отделяющая зеленые насаждения общего пользования (парки, сады, скверы, бульвары, озелененные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ind w:firstLine="397"/>
        <w:jc w:val="both"/>
      </w:pPr>
      <w:r>
        <w:rPr>
          <w:rFonts w:ascii="Arial" w:cs="Arial" w:eastAsia="Arial" w:hAnsi="Arial"/>
          <w:b/>
          <w:bCs/>
          <w:sz w:val="24"/>
          <w:szCs w:val="24"/>
        </w:rPr>
        <w:t xml:space="preserve">инженерно-техническая, транспортная и социальная инфраструктура</w:t>
      </w:r>
      <w:r>
        <w:rPr>
          <w:rFonts w:ascii="Arial" w:cs="Arial" w:eastAsia="Arial" w:hAnsi="Arial"/>
          <w:sz w:val="24"/>
          <w:szCs w:val="24"/>
        </w:rPr>
        <w:t xml:space="preserve"> –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пунктов и межселенных территорий;</w:t>
      </w:r>
    </w:p>
    <w:p>
      <w:pPr>
        <w:spacing w:after="120"/>
        <w:ind w:firstLine="397"/>
        <w:jc w:val="both"/>
      </w:pPr>
      <w:r>
        <w:rPr>
          <w:rFonts w:ascii="Arial" w:cs="Arial" w:eastAsia="Arial" w:hAnsi="Arial"/>
          <w:b/>
          <w:bCs/>
          <w:sz w:val="24"/>
          <w:szCs w:val="24"/>
        </w:rPr>
        <w:t xml:space="preserve">инженерные изыскания для строительства</w:t>
      </w:r>
      <w:r>
        <w:rPr>
          <w:rFonts w:ascii="Arial" w:cs="Arial" w:eastAsia="Arial" w:hAnsi="Arial"/>
          <w:sz w:val="24"/>
          <w:szCs w:val="24"/>
        </w:rPr>
        <w:t xml:space="preserve"> –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 </w:t>
      </w:r>
    </w:p>
    <w:p>
      <w:pPr>
        <w:spacing w:after="120"/>
        <w:ind w:firstLine="397"/>
        <w:jc w:val="both"/>
      </w:pPr>
      <w:r>
        <w:rPr>
          <w:rFonts w:ascii="Arial" w:cs="Arial" w:eastAsia="Arial" w:hAnsi="Arial"/>
          <w:b/>
          <w:bCs/>
          <w:sz w:val="24"/>
          <w:szCs w:val="24"/>
        </w:rPr>
        <w:t xml:space="preserve">интенсивность использования территории (интенсивность застройки)</w:t>
      </w:r>
      <w:r>
        <w:rPr>
          <w:rFonts w:ascii="Arial" w:cs="Arial" w:eastAsia="Arial" w:hAnsi="Arial"/>
          <w:sz w:val="24"/>
          <w:szCs w:val="24"/>
        </w:rPr>
        <w:t xml:space="preserve"> – показатель территории в структуре города, населенного пункта в соответствии со схемами улично-дорожной сети и системами общегородских центров, разработанными в составе генерального плана города, населенного пункта, характеризуется показателями плотности застройки, процентом застроенности территории и плотностью улично-дорожной сети, выраженной нормативным размером квартала (микрорайона);</w:t>
      </w:r>
    </w:p>
    <w:p>
      <w:pPr>
        <w:spacing w:after="120"/>
        <w:ind w:firstLine="397"/>
        <w:jc w:val="both"/>
      </w:pPr>
      <w:r>
        <w:rPr>
          <w:rFonts w:ascii="Arial" w:cs="Arial" w:eastAsia="Arial" w:hAnsi="Arial"/>
          <w:b/>
          <w:bCs/>
          <w:sz w:val="24"/>
          <w:szCs w:val="24"/>
        </w:rPr>
        <w:t xml:space="preserve">квартал</w:t>
      </w:r>
      <w:r>
        <w:rPr>
          <w:rFonts w:ascii="Arial" w:cs="Arial" w:eastAsia="Arial" w:hAnsi="Arial"/>
          <w:sz w:val="24"/>
          <w:szCs w:val="24"/>
        </w:rPr>
        <w:t xml:space="preserve"> –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 площадью территории до 10 га;</w:t>
      </w:r>
    </w:p>
    <w:p>
      <w:pPr>
        <w:spacing w:after="120"/>
        <w:ind w:firstLine="397"/>
        <w:jc w:val="both"/>
      </w:pPr>
      <w:r>
        <w:rPr>
          <w:rFonts w:ascii="Arial" w:cs="Arial" w:eastAsia="Arial" w:hAnsi="Arial"/>
          <w:b/>
          <w:bCs/>
          <w:sz w:val="24"/>
          <w:szCs w:val="24"/>
        </w:rPr>
        <w:t xml:space="preserve">компоненты информационной системы градостроительного кадастра</w:t>
      </w:r>
      <w:r>
        <w:rPr>
          <w:rFonts w:ascii="Arial" w:cs="Arial" w:eastAsia="Arial" w:hAnsi="Arial"/>
          <w:sz w:val="24"/>
          <w:szCs w:val="24"/>
        </w:rPr>
        <w:t xml:space="preserve"> - информационные ресурсы и информационные технологии (программные, технические, лингвистические, правовые, организационные средства) градостроительного кадастра; </w:t>
      </w:r>
    </w:p>
    <w:p>
      <w:pPr>
        <w:spacing w:after="120"/>
        <w:ind w:firstLine="397"/>
        <w:jc w:val="both"/>
      </w:pPr>
      <w:r>
        <w:rPr>
          <w:rFonts w:ascii="Arial" w:cs="Arial" w:eastAsia="Arial" w:hAnsi="Arial"/>
          <w:b/>
          <w:bCs/>
          <w:sz w:val="24"/>
          <w:szCs w:val="24"/>
        </w:rPr>
        <w:t xml:space="preserve">красные линии</w:t>
      </w:r>
      <w:r>
        <w:rPr>
          <w:rFonts w:ascii="Arial" w:cs="Arial" w:eastAsia="Arial" w:hAnsi="Arial"/>
          <w:sz w:val="24"/>
          <w:szCs w:val="24"/>
        </w:rPr>
        <w:t xml:space="preserve"> – границы, отделяющие территории кварталов, микрорайонов и других элементов планировочной структуры от улиц, проездов и площадей в населенных пунктах; </w:t>
      </w:r>
    </w:p>
    <w:p>
      <w:pPr>
        <w:spacing w:after="120"/>
        <w:ind w:firstLine="397"/>
        <w:jc w:val="both"/>
      </w:pPr>
      <w:r>
        <w:rPr>
          <w:rFonts w:ascii="Arial" w:cs="Arial" w:eastAsia="Arial" w:hAnsi="Arial"/>
          <w:b/>
          <w:bCs/>
          <w:sz w:val="24"/>
          <w:szCs w:val="24"/>
        </w:rPr>
        <w:t xml:space="preserve">комплексное благоустройство территории</w:t>
      </w:r>
      <w:r>
        <w:rPr>
          <w:rFonts w:ascii="Arial" w:cs="Arial" w:eastAsia="Arial" w:hAnsi="Arial"/>
          <w:sz w:val="24"/>
          <w:szCs w:val="24"/>
        </w:rPr>
        <w:t xml:space="preserve"> – совокупность работ и мероприятий по инженерной подготовке территории под застройку, устройство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по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 </w:t>
      </w:r>
    </w:p>
    <w:p>
      <w:pPr>
        <w:spacing w:after="120"/>
        <w:ind w:firstLine="397"/>
        <w:jc w:val="both"/>
      </w:pPr>
      <w:r>
        <w:rPr>
          <w:rFonts w:ascii="Arial" w:cs="Arial" w:eastAsia="Arial" w:hAnsi="Arial"/>
          <w:b/>
          <w:bCs/>
          <w:sz w:val="24"/>
          <w:szCs w:val="24"/>
        </w:rPr>
        <w:t xml:space="preserve">линии регулирования застройки (линии застройки)</w:t>
      </w:r>
      <w:r>
        <w:rPr>
          <w:rFonts w:ascii="Arial" w:cs="Arial" w:eastAsia="Arial" w:hAnsi="Arial"/>
          <w:sz w:val="24"/>
          <w:szCs w:val="24"/>
        </w:rPr>
        <w:t xml:space="preserve"> - границы застройки, устанавливаемые при размещении зданий, строений и сооружений, с отступлением от красных линий или от границ земельного участка (или совмещенные с красной линией) и предписывающие расположение внешних контуров проектируемых зданий, строений, сооружений, а также линии, ограничивающие строительство зданий и сооружений вдоль улиц;</w:t>
      </w:r>
    </w:p>
    <w:p>
      <w:pPr>
        <w:spacing w:after="120"/>
        <w:ind w:firstLine="397"/>
        <w:jc w:val="both"/>
      </w:pPr>
      <w:r>
        <w:rPr>
          <w:rFonts w:ascii="Arial" w:cs="Arial" w:eastAsia="Arial" w:hAnsi="Arial"/>
          <w:b/>
          <w:bCs/>
          <w:sz w:val="24"/>
          <w:szCs w:val="24"/>
        </w:rPr>
        <w:t xml:space="preserve">межгосударственные строительные нормы</w:t>
      </w:r>
      <w:r>
        <w:rPr>
          <w:rFonts w:ascii="Arial" w:cs="Arial" w:eastAsia="Arial" w:hAnsi="Arial"/>
          <w:sz w:val="24"/>
          <w:szCs w:val="24"/>
        </w:rPr>
        <w:t xml:space="preserve"> – межрегиональный нормативный технический документ государств-участников СНГ в области проектирования и строительства, утвержденный Межправительственным Советом по сотрудничеству в строительной деятельности стран-участниц СНГ для применения на обязательной основе и содержащий требования к продукции строительства, а также к связанным с ним процессам;</w:t>
      </w:r>
    </w:p>
    <w:p>
      <w:pPr>
        <w:spacing w:after="120"/>
        <w:ind w:firstLine="397"/>
        <w:jc w:val="both"/>
      </w:pPr>
      <w:r>
        <w:rPr>
          <w:rFonts w:ascii="Arial" w:cs="Arial" w:eastAsia="Arial" w:hAnsi="Arial"/>
          <w:b/>
          <w:bCs/>
          <w:sz w:val="24"/>
          <w:szCs w:val="24"/>
        </w:rPr>
        <w:t xml:space="preserve">межгосударственный свод правил по проектированию и строительству</w:t>
      </w:r>
      <w:r>
        <w:rPr>
          <w:rFonts w:ascii="Arial" w:cs="Arial" w:eastAsia="Arial" w:hAnsi="Arial"/>
          <w:sz w:val="24"/>
          <w:szCs w:val="24"/>
        </w:rPr>
        <w:t xml:space="preserve"> – межрегиональный нормативный технический документ государств-участников СНГ в области проектирования и строительства, утвержденный Межгосударственной научно-технической комиссией по техническому нормированию, стандартизации и оценке соответствия в строительстве (МНТКС) и содержащий предназначенные для применения на добровольной основе технические правила, а также процедуры инженерных изысканий, проектирования, строительства или эксплуатации продукции строительства, определяющие способы достижения ее соответствия предъявляемым к ней обязательным требованиям технических регламентов и межгосударственных строительных норм;</w:t>
      </w:r>
    </w:p>
    <w:p>
      <w:pPr>
        <w:spacing w:after="120"/>
        <w:ind w:firstLine="397"/>
        <w:jc w:val="both"/>
      </w:pPr>
      <w:r>
        <w:rPr>
          <w:rFonts w:ascii="Arial" w:cs="Arial" w:eastAsia="Arial" w:hAnsi="Arial"/>
          <w:b/>
          <w:bCs/>
          <w:sz w:val="24"/>
          <w:szCs w:val="24"/>
        </w:rPr>
        <w:t xml:space="preserve">межевание</w:t>
      </w:r>
      <w:r>
        <w:rPr>
          <w:rFonts w:ascii="Arial" w:cs="Arial" w:eastAsia="Arial" w:hAnsi="Arial"/>
          <w:sz w:val="24"/>
          <w:szCs w:val="24"/>
        </w:rPr>
        <w:t xml:space="preserve">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397"/>
        <w:jc w:val="both"/>
      </w:pPr>
      <w:r>
        <w:rPr>
          <w:rFonts w:ascii="Arial" w:cs="Arial" w:eastAsia="Arial" w:hAnsi="Arial"/>
          <w:b/>
          <w:bCs/>
          <w:sz w:val="24"/>
          <w:szCs w:val="24"/>
        </w:rPr>
        <w:t xml:space="preserve">межселенные территории</w:t>
      </w:r>
      <w:r>
        <w:rPr>
          <w:rFonts w:ascii="Arial" w:cs="Arial" w:eastAsia="Arial" w:hAnsi="Arial"/>
          <w:sz w:val="24"/>
          <w:szCs w:val="24"/>
        </w:rPr>
        <w:t xml:space="preserve"> - территории за пределами границ (черты) населенных пунктов;</w:t>
      </w:r>
    </w:p>
    <w:p>
      <w:pPr>
        <w:spacing w:after="120"/>
        <w:ind w:firstLine="397"/>
        <w:jc w:val="both"/>
      </w:pPr>
      <w:r>
        <w:rPr>
          <w:rFonts w:ascii="Arial" w:cs="Arial" w:eastAsia="Arial" w:hAnsi="Arial"/>
          <w:b/>
          <w:bCs/>
          <w:sz w:val="24"/>
          <w:szCs w:val="24"/>
        </w:rPr>
        <w:t xml:space="preserve">микрорайон</w:t>
      </w:r>
      <w:r>
        <w:rPr>
          <w:rFonts w:ascii="Arial" w:cs="Arial" w:eastAsia="Arial" w:hAnsi="Arial"/>
          <w:sz w:val="24"/>
          <w:szCs w:val="24"/>
        </w:rPr>
        <w:t xml:space="preserve"> – территория площадью до 60 га, с расчетной численностью населения до 50 тысяч человек, обеспеченного объектами повседневного обслуживания в пределах своей территории, и объектами периодического обслуживания - в пределах нормативной доступности;</w:t>
      </w:r>
    </w:p>
    <w:p>
      <w:pPr>
        <w:spacing w:after="120"/>
        <w:ind w:firstLine="397"/>
        <w:jc w:val="both"/>
      </w:pPr>
      <w:r>
        <w:rPr>
          <w:rFonts w:ascii="Arial" w:cs="Arial" w:eastAsia="Arial" w:hAnsi="Arial"/>
          <w:b/>
          <w:bCs/>
          <w:sz w:val="24"/>
          <w:szCs w:val="24"/>
        </w:rPr>
        <w:t xml:space="preserve">мониторинг объектов градостроительной деятельности</w:t>
      </w:r>
      <w:r>
        <w:rPr>
          <w:rFonts w:ascii="Arial" w:cs="Arial" w:eastAsia="Arial" w:hAnsi="Arial"/>
          <w:sz w:val="24"/>
          <w:szCs w:val="24"/>
        </w:rPr>
        <w:t xml:space="preserve"> - система наблюдений за состоянием, использованием и изменениями объектов градостроительной деятельности;</w:t>
      </w:r>
    </w:p>
    <w:p>
      <w:pPr>
        <w:spacing w:after="120"/>
        <w:ind w:firstLine="397"/>
        <w:jc w:val="both"/>
      </w:pPr>
      <w:r>
        <w:rPr>
          <w:rFonts w:ascii="Arial" w:cs="Arial" w:eastAsia="Arial" w:hAnsi="Arial"/>
          <w:b/>
          <w:bCs/>
          <w:sz w:val="24"/>
          <w:szCs w:val="24"/>
        </w:rPr>
        <w:t xml:space="preserve">нормативный технический документ</w:t>
      </w:r>
      <w:r>
        <w:rPr>
          <w:rFonts w:ascii="Arial" w:cs="Arial" w:eastAsia="Arial" w:hAnsi="Arial"/>
          <w:sz w:val="24"/>
          <w:szCs w:val="24"/>
        </w:rPr>
        <w:t xml:space="preserve"> – 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ind w:firstLine="397"/>
        <w:jc w:val="both"/>
      </w:pPr>
      <w:r>
        <w:rPr>
          <w:rFonts w:ascii="Arial" w:cs="Arial" w:eastAsia="Arial" w:hAnsi="Arial"/>
          <w:b/>
          <w:bCs/>
          <w:sz w:val="24"/>
          <w:szCs w:val="24"/>
        </w:rPr>
        <w:t xml:space="preserve">общественные территории</w:t>
      </w:r>
      <w:r>
        <w:rPr>
          <w:rFonts w:ascii="Arial" w:cs="Arial" w:eastAsia="Arial" w:hAnsi="Arial"/>
          <w:sz w:val="24"/>
          <w:szCs w:val="24"/>
        </w:rPr>
        <w:t xml:space="preserve"> -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ind w:firstLine="397"/>
        <w:jc w:val="both"/>
      </w:pPr>
      <w:r>
        <w:rPr>
          <w:rFonts w:ascii="Arial" w:cs="Arial" w:eastAsia="Arial" w:hAnsi="Arial"/>
          <w:b/>
          <w:bCs/>
          <w:sz w:val="24"/>
          <w:szCs w:val="24"/>
        </w:rPr>
        <w:t xml:space="preserve">очередность строительства</w:t>
      </w:r>
      <w:r>
        <w:rPr>
          <w:rFonts w:ascii="Arial" w:cs="Arial" w:eastAsia="Arial" w:hAnsi="Arial"/>
          <w:sz w:val="24"/>
          <w:szCs w:val="24"/>
        </w:rPr>
        <w:t xml:space="preserve"> - часть объекта строительства, определяемая проектной документацией, состоящая из здания или его части, группы зданий, сооружений, инженерных сетей, устройств, ввод которых в эксплуатацию обеспечивает автономную эксплуатацию по назначению;</w:t>
      </w:r>
    </w:p>
    <w:p>
      <w:pPr>
        <w:spacing w:after="120"/>
        <w:ind w:firstLine="397"/>
        <w:jc w:val="both"/>
      </w:pPr>
      <w:r>
        <w:rPr>
          <w:rFonts w:ascii="Arial" w:cs="Arial" w:eastAsia="Arial" w:hAnsi="Arial"/>
          <w:b/>
          <w:bCs/>
          <w:sz w:val="24"/>
          <w:szCs w:val="24"/>
        </w:rPr>
        <w:t xml:space="preserve">охранная зона памятника истории и культуры</w:t>
      </w:r>
      <w:r>
        <w:rPr>
          <w:rFonts w:ascii="Arial" w:cs="Arial" w:eastAsia="Arial" w:hAnsi="Arial"/>
          <w:sz w:val="24"/>
          <w:szCs w:val="24"/>
        </w:rPr>
        <w:t xml:space="preserve"> –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которая может привести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ind w:firstLine="397"/>
        <w:jc w:val="both"/>
      </w:pPr>
      <w:r>
        <w:rPr>
          <w:rFonts w:ascii="Arial" w:cs="Arial" w:eastAsia="Arial" w:hAnsi="Arial"/>
          <w:b/>
          <w:bCs/>
          <w:sz w:val="24"/>
          <w:szCs w:val="24"/>
        </w:rPr>
        <w:t xml:space="preserve">паспорт градостроительного объекта</w:t>
      </w:r>
      <w:r>
        <w:rPr>
          <w:rFonts w:ascii="Arial" w:cs="Arial" w:eastAsia="Arial" w:hAnsi="Arial"/>
          <w:sz w:val="24"/>
          <w:szCs w:val="24"/>
        </w:rPr>
        <w:t xml:space="preserve"> - документ установленной формы, содержащий сведения о градостроительных регламентах и справочную информацию применительно к данному градостроительному объекту;</w:t>
      </w:r>
    </w:p>
    <w:p>
      <w:pPr>
        <w:spacing w:after="120"/>
        <w:ind w:firstLine="397"/>
        <w:jc w:val="both"/>
      </w:pPr>
      <w:r>
        <w:rPr>
          <w:rFonts w:ascii="Arial" w:cs="Arial" w:eastAsia="Arial" w:hAnsi="Arial"/>
          <w:b/>
          <w:bCs/>
          <w:sz w:val="24"/>
          <w:szCs w:val="24"/>
        </w:rPr>
        <w:t xml:space="preserve">плотность жилой застройки</w:t>
      </w:r>
      <w:r>
        <w:rPr>
          <w:rFonts w:ascii="Arial" w:cs="Arial" w:eastAsia="Arial" w:hAnsi="Arial"/>
          <w:sz w:val="24"/>
          <w:szCs w:val="24"/>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(тыс.кв. метров);</w:t>
      </w:r>
    </w:p>
    <w:p>
      <w:pPr>
        <w:spacing w:after="120"/>
        <w:ind w:firstLine="397"/>
        <w:jc w:val="both"/>
      </w:pPr>
      <w:r>
        <w:rPr>
          <w:rFonts w:ascii="Arial" w:cs="Arial" w:eastAsia="Arial" w:hAnsi="Arial"/>
          <w:b/>
          <w:bCs/>
          <w:sz w:val="24"/>
          <w:szCs w:val="24"/>
        </w:rPr>
        <w:t xml:space="preserve">потенциально опасные объекты</w:t>
      </w:r>
      <w:r>
        <w:rPr>
          <w:rFonts w:ascii="Arial" w:cs="Arial" w:eastAsia="Arial" w:hAnsi="Arial"/>
          <w:sz w:val="24"/>
          <w:szCs w:val="24"/>
        </w:rPr>
        <w:t xml:space="preserve"> –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объязательному проведению государственной экспертизы;</w:t>
      </w:r>
    </w:p>
    <w:p>
      <w:pPr>
        <w:spacing w:after="120"/>
        <w:ind w:firstLine="397"/>
        <w:jc w:val="both"/>
      </w:pPr>
      <w:r>
        <w:rPr>
          <w:rFonts w:ascii="Arial" w:cs="Arial" w:eastAsia="Arial" w:hAnsi="Arial"/>
          <w:b/>
          <w:bCs/>
          <w:sz w:val="24"/>
          <w:szCs w:val="24"/>
        </w:rPr>
        <w:t xml:space="preserve">правовое градостроительное зонирование</w:t>
      </w:r>
      <w:r>
        <w:rPr>
          <w:rFonts w:ascii="Arial" w:cs="Arial" w:eastAsia="Arial" w:hAnsi="Arial"/>
          <w:sz w:val="24"/>
          <w:szCs w:val="24"/>
        </w:rPr>
        <w:t xml:space="preserve"> –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ind w:firstLine="397"/>
        <w:jc w:val="both"/>
      </w:pPr>
      <w:r>
        <w:rPr>
          <w:rFonts w:ascii="Arial" w:cs="Arial" w:eastAsia="Arial" w:hAnsi="Arial"/>
          <w:b/>
          <w:bCs/>
          <w:sz w:val="24"/>
          <w:szCs w:val="24"/>
        </w:rPr>
        <w:t xml:space="preserve">правила застройки и землепользования населенных пунктов</w:t>
      </w:r>
      <w:r>
        <w:rPr>
          <w:rFonts w:ascii="Arial" w:cs="Arial" w:eastAsia="Arial" w:hAnsi="Arial"/>
          <w:sz w:val="24"/>
          <w:szCs w:val="24"/>
        </w:rPr>
        <w:t xml:space="preserve"> - свод правил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ind w:firstLine="397"/>
        <w:jc w:val="both"/>
      </w:pPr>
      <w:r>
        <w:rPr>
          <w:rFonts w:ascii="Arial" w:cs="Arial" w:eastAsia="Arial" w:hAnsi="Arial"/>
          <w:b/>
          <w:bCs/>
          <w:sz w:val="24"/>
          <w:szCs w:val="24"/>
        </w:rPr>
        <w:t xml:space="preserve">придомовая территория</w:t>
      </w:r>
      <w:r>
        <w:rPr>
          <w:rFonts w:ascii="Arial" w:cs="Arial" w:eastAsia="Arial" w:hAnsi="Arial"/>
          <w:sz w:val="24"/>
          <w:szCs w:val="24"/>
        </w:rPr>
        <w:t xml:space="preserve"> – территория, непосредственно прилегающая к многоквартирному дому, на которой размещаются подходы и подъезды к дому, гостевые автостоянки, территории зеленых насаждений, площадки для игр и отдыха, хозяйственные площадки. На придомовой территории в жилой, смешанной жилой застройке запрещается размещение отдельно стоящих нежилых объектов, а также встроено-пристроенных нежилых объектов, недопустимых к размещению в жилой застройке по санитарно-гигиеническим требованиям; </w:t>
      </w:r>
    </w:p>
    <w:p>
      <w:pPr>
        <w:spacing w:after="120"/>
        <w:ind w:firstLine="397"/>
        <w:jc w:val="both"/>
      </w:pPr>
      <w:r>
        <w:rPr>
          <w:rFonts w:ascii="Arial" w:cs="Arial" w:eastAsia="Arial" w:hAnsi="Arial"/>
          <w:b/>
          <w:bCs/>
          <w:sz w:val="24"/>
          <w:szCs w:val="24"/>
        </w:rPr>
        <w:t xml:space="preserve">примагистральная территория</w:t>
      </w:r>
      <w:r>
        <w:rPr>
          <w:rFonts w:ascii="Arial" w:cs="Arial" w:eastAsia="Arial" w:hAnsi="Arial"/>
          <w:sz w:val="24"/>
          <w:szCs w:val="24"/>
        </w:rPr>
        <w:t xml:space="preserve"> – территория, примыкающая к магистральным улицам общегородского значения, транспортным коридорам, транспортным развязкам, границы которых определяются соответствующей градостроительной документацией;</w:t>
      </w:r>
    </w:p>
    <w:p>
      <w:pPr>
        <w:spacing w:after="120"/>
        <w:ind w:firstLine="397"/>
        <w:jc w:val="both"/>
      </w:pPr>
      <w:r>
        <w:rPr>
          <w:rFonts w:ascii="Arial" w:cs="Arial" w:eastAsia="Arial" w:hAnsi="Arial"/>
          <w:b/>
          <w:bCs/>
          <w:sz w:val="24"/>
          <w:szCs w:val="24"/>
        </w:rPr>
        <w:t xml:space="preserve">предпроектная документация</w:t>
      </w:r>
      <w:r>
        <w:rPr>
          <w:rFonts w:ascii="Arial" w:cs="Arial" w:eastAsia="Arial" w:hAnsi="Arial"/>
          <w:sz w:val="24"/>
          <w:szCs w:val="24"/>
        </w:rPr>
        <w:t xml:space="preserve"> –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ind w:firstLine="397"/>
        <w:jc w:val="both"/>
      </w:pPr>
      <w:r>
        <w:rPr>
          <w:rFonts w:ascii="Arial" w:cs="Arial" w:eastAsia="Arial" w:hAnsi="Arial"/>
          <w:b/>
          <w:bCs/>
          <w:sz w:val="24"/>
          <w:szCs w:val="24"/>
        </w:rPr>
        <w:t xml:space="preserve">проект</w:t>
      </w:r>
      <w:r>
        <w:rPr>
          <w:rFonts w:ascii="Arial" w:cs="Arial" w:eastAsia="Arial" w:hAnsi="Arial"/>
          <w:sz w:val="24"/>
          <w:szCs w:val="24"/>
        </w:rPr>
        <w:t xml:space="preserve"> -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 </w:t>
      </w:r>
    </w:p>
    <w:p>
      <w:pPr>
        <w:spacing w:after="120"/>
        <w:ind w:firstLine="397"/>
        <w:jc w:val="both"/>
      </w:pP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ind w:firstLine="397"/>
        <w:jc w:val="both"/>
      </w:pPr>
      <w:r>
        <w:rPr>
          <w:rFonts w:ascii="Arial" w:cs="Arial" w:eastAsia="Arial" w:hAnsi="Arial"/>
          <w:b/>
          <w:bCs/>
          <w:sz w:val="24"/>
          <w:szCs w:val="24"/>
        </w:rPr>
        <w:t xml:space="preserve">проект озеленения территории</w:t>
      </w:r>
      <w:r>
        <w:rPr>
          <w:rFonts w:ascii="Arial" w:cs="Arial" w:eastAsia="Arial" w:hAnsi="Arial"/>
          <w:sz w:val="24"/>
          <w:szCs w:val="24"/>
        </w:rPr>
        <w:t xml:space="preserve"> – проектная документация, содержащая планы по озеленению территории (дендрологический план, посадочный чертеж, разбивочный чертеж планировки, пояснительную записку с расчетом объемов работ и смету);</w:t>
      </w:r>
    </w:p>
    <w:p>
      <w:pPr>
        <w:spacing w:after="120"/>
        <w:ind w:firstLine="397"/>
        <w:jc w:val="both"/>
      </w:pPr>
      <w:r>
        <w:rPr>
          <w:rFonts w:ascii="Arial" w:cs="Arial" w:eastAsia="Arial" w:hAnsi="Arial"/>
          <w:b/>
          <w:bCs/>
          <w:sz w:val="24"/>
          <w:szCs w:val="24"/>
        </w:rPr>
        <w:t xml:space="preserve">произведение архитектуры, градостроительного искусства</w:t>
      </w:r>
      <w:r>
        <w:rPr>
          <w:rFonts w:ascii="Arial" w:cs="Arial" w:eastAsia="Arial" w:hAnsi="Arial"/>
          <w:sz w:val="24"/>
          <w:szCs w:val="24"/>
        </w:rPr>
        <w:t xml:space="preserve"> –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Они направлены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ind w:firstLine="397"/>
        <w:jc w:val="both"/>
      </w:pPr>
      <w:r>
        <w:rPr>
          <w:rFonts w:ascii="Arial" w:cs="Arial" w:eastAsia="Arial" w:hAnsi="Arial"/>
          <w:b/>
          <w:bCs/>
          <w:sz w:val="24"/>
          <w:szCs w:val="24"/>
        </w:rPr>
        <w:t xml:space="preserve">площадь застройки</w:t>
      </w:r>
      <w:r>
        <w:rPr>
          <w:rFonts w:ascii="Arial" w:cs="Arial" w:eastAsia="Arial" w:hAnsi="Arial"/>
          <w:sz w:val="24"/>
          <w:szCs w:val="24"/>
        </w:rPr>
        <w:t xml:space="preserve"> – площадь застройки земельного участка зданием или сооружением в наружных габаритах, с отмосткой и крыльцами;</w:t>
      </w:r>
    </w:p>
    <w:p>
      <w:pPr>
        <w:spacing w:after="120"/>
        <w:ind w:firstLine="397"/>
        <w:jc w:val="both"/>
      </w:pPr>
      <w:r>
        <w:rPr>
          <w:rFonts w:ascii="Arial" w:cs="Arial" w:eastAsia="Arial" w:hAnsi="Arial"/>
          <w:sz w:val="24"/>
          <w:szCs w:val="24"/>
        </w:rPr>
        <w:t xml:space="preserve">производственные территории –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ind w:firstLine="397"/>
        <w:jc w:val="both"/>
      </w:pPr>
      <w:r>
        <w:rPr>
          <w:rFonts w:ascii="Arial" w:cs="Arial" w:eastAsia="Arial" w:hAnsi="Arial"/>
          <w:b/>
          <w:bCs/>
          <w:sz w:val="24"/>
          <w:szCs w:val="24"/>
        </w:rPr>
        <w:t xml:space="preserve">расчетная стоимость строительства</w:t>
      </w:r>
      <w:r>
        <w:rPr>
          <w:rFonts w:ascii="Arial" w:cs="Arial" w:eastAsia="Arial" w:hAnsi="Arial"/>
          <w:sz w:val="24"/>
          <w:szCs w:val="24"/>
        </w:rPr>
        <w:t xml:space="preserve"> -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ind w:firstLine="397"/>
        <w:jc w:val="both"/>
      </w:pPr>
      <w:r>
        <w:rPr>
          <w:rFonts w:ascii="Arial" w:cs="Arial" w:eastAsia="Arial" w:hAnsi="Arial"/>
          <w:b/>
          <w:bCs/>
          <w:sz w:val="24"/>
          <w:szCs w:val="24"/>
        </w:rPr>
        <w:t xml:space="preserve">регистрация документа в градостроительном кадастре</w:t>
      </w:r>
      <w:r>
        <w:rPr>
          <w:rFonts w:ascii="Arial" w:cs="Arial" w:eastAsia="Arial" w:hAnsi="Arial"/>
          <w:sz w:val="24"/>
          <w:szCs w:val="24"/>
        </w:rPr>
        <w:t xml:space="preserve"> - действие, в результате совершения которого документ или его часть включается в информационные ресурсы градостроительного кадастра, а содержащиеся в нем градостроительные регламенты приобретают статус обязательных для соблюдения всеми участниками градостроительной деятельности и правообладателями земельных участков и расположенных на них иных объектов недвижимости;</w:t>
      </w:r>
    </w:p>
    <w:p>
      <w:pPr>
        <w:spacing w:after="120"/>
        <w:ind w:firstLine="397"/>
        <w:jc w:val="both"/>
      </w:pPr>
      <w:r>
        <w:rPr>
          <w:rFonts w:ascii="Arial" w:cs="Arial" w:eastAsia="Arial" w:hAnsi="Arial"/>
          <w:b/>
          <w:bCs/>
          <w:sz w:val="24"/>
          <w:szCs w:val="24"/>
        </w:rPr>
        <w:t xml:space="preserve">реконструкция</w:t>
      </w:r>
      <w:r>
        <w:rPr>
          <w:rFonts w:ascii="Arial" w:cs="Arial" w:eastAsia="Arial" w:hAnsi="Arial"/>
          <w:sz w:val="24"/>
          <w:szCs w:val="24"/>
        </w:rPr>
        <w:t xml:space="preserve"> –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ind w:firstLine="397"/>
        <w:jc w:val="both"/>
      </w:pPr>
      <w:r>
        <w:rPr>
          <w:rFonts w:ascii="Arial" w:cs="Arial" w:eastAsia="Arial" w:hAnsi="Arial"/>
          <w:b/>
          <w:bCs/>
          <w:sz w:val="24"/>
          <w:szCs w:val="24"/>
        </w:rPr>
        <w:t xml:space="preserve">рекреационные территории</w:t>
      </w:r>
      <w:r>
        <w:rPr>
          <w:rFonts w:ascii="Arial" w:cs="Arial" w:eastAsia="Arial" w:hAnsi="Arial"/>
          <w:sz w:val="24"/>
          <w:szCs w:val="24"/>
        </w:rPr>
        <w:t xml:space="preserve"> –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ind w:firstLine="397"/>
        <w:jc w:val="both"/>
      </w:pPr>
      <w:r>
        <w:rPr>
          <w:rFonts w:ascii="Arial" w:cs="Arial" w:eastAsia="Arial" w:hAnsi="Arial"/>
          <w:b/>
          <w:bCs/>
          <w:sz w:val="24"/>
          <w:szCs w:val="24"/>
        </w:rPr>
        <w:t xml:space="preserve">санитарные разрывы</w:t>
      </w:r>
      <w:r>
        <w:rPr>
          <w:rFonts w:ascii="Arial" w:cs="Arial" w:eastAsia="Arial" w:hAnsi="Arial"/>
          <w:sz w:val="24"/>
          <w:szCs w:val="24"/>
        </w:rPr>
        <w:t xml:space="preserve"> –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ind w:firstLine="397"/>
        <w:jc w:val="both"/>
      </w:pP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ind w:firstLine="397"/>
        <w:jc w:val="both"/>
      </w:pPr>
      <w:r>
        <w:rPr>
          <w:rFonts w:ascii="Arial" w:cs="Arial" w:eastAsia="Arial" w:hAnsi="Arial"/>
          <w:b/>
          <w:bCs/>
          <w:sz w:val="24"/>
          <w:szCs w:val="24"/>
        </w:rPr>
        <w:t xml:space="preserve">селитебная территория</w:t>
      </w:r>
      <w:r>
        <w:rPr>
          <w:rFonts w:ascii="Arial" w:cs="Arial" w:eastAsia="Arial" w:hAnsi="Arial"/>
          <w:sz w:val="24"/>
          <w:szCs w:val="24"/>
        </w:rPr>
        <w:t xml:space="preserve"> -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ind w:firstLine="397"/>
        <w:jc w:val="both"/>
      </w:pPr>
      <w:r>
        <w:rPr>
          <w:rFonts w:ascii="Arial" w:cs="Arial" w:eastAsia="Arial" w:hAnsi="Arial"/>
          <w:b/>
          <w:bCs/>
          <w:sz w:val="24"/>
          <w:szCs w:val="24"/>
        </w:rPr>
        <w:t xml:space="preserve">схемы расселения</w:t>
      </w:r>
      <w:r>
        <w:rPr>
          <w:rFonts w:ascii="Arial" w:cs="Arial" w:eastAsia="Arial" w:hAnsi="Arial"/>
          <w:sz w:val="24"/>
          <w:szCs w:val="24"/>
        </w:rPr>
        <w:t xml:space="preserve"> - схемы, определяющие характер взаимного размещения типов населенных пунктов и уровень развития межселенных связей.</w:t>
      </w:r>
    </w:p>
    <w:p>
      <w:pPr>
        <w:spacing w:after="120"/>
        <w:ind w:firstLine="397"/>
        <w:jc w:val="both"/>
      </w:pPr>
      <w:r>
        <w:rPr>
          <w:rFonts w:ascii="Arial" w:cs="Arial" w:eastAsia="Arial" w:hAnsi="Arial"/>
          <w:b/>
          <w:bCs/>
          <w:sz w:val="24"/>
          <w:szCs w:val="24"/>
        </w:rPr>
        <w:t xml:space="preserve">сейсмостойкость объектов строительства</w:t>
      </w:r>
      <w:r>
        <w:rPr>
          <w:rFonts w:ascii="Arial" w:cs="Arial" w:eastAsia="Arial" w:hAnsi="Arial"/>
          <w:sz w:val="24"/>
          <w:szCs w:val="24"/>
        </w:rPr>
        <w:t xml:space="preserve"> -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ind w:firstLine="397"/>
        <w:jc w:val="both"/>
      </w:pPr>
      <w:r>
        <w:rPr>
          <w:rFonts w:ascii="Arial" w:cs="Arial" w:eastAsia="Arial" w:hAnsi="Arial"/>
          <w:b/>
          <w:bCs/>
          <w:sz w:val="24"/>
          <w:szCs w:val="24"/>
        </w:rPr>
        <w:t xml:space="preserve">территории общего пользования</w:t>
      </w:r>
      <w:r>
        <w:rPr>
          <w:rFonts w:ascii="Arial" w:cs="Arial" w:eastAsia="Arial" w:hAnsi="Arial"/>
          <w:sz w:val="24"/>
          <w:szCs w:val="24"/>
        </w:rPr>
        <w:t xml:space="preserve"> – территории, которыми беспрепятственно пользуется неограниченный круг лиц, в том числе расположенные вне территории кварталов (микрорайонов) – площади, улицы, набережные, бульвары и на территории кварталов (микрорайонов) – проезды и скверы;</w:t>
      </w:r>
    </w:p>
    <w:p>
      <w:pPr>
        <w:spacing w:after="120"/>
        <w:ind w:firstLine="397"/>
        <w:jc w:val="both"/>
      </w:pPr>
      <w:r>
        <w:rPr>
          <w:rFonts w:ascii="Arial" w:cs="Arial" w:eastAsia="Arial" w:hAnsi="Arial"/>
          <w:b/>
          <w:bCs/>
          <w:sz w:val="24"/>
          <w:szCs w:val="24"/>
        </w:rPr>
        <w:t xml:space="preserve">территории природного комплекса</w:t>
      </w:r>
      <w:r>
        <w:rPr>
          <w:rFonts w:ascii="Arial" w:cs="Arial" w:eastAsia="Arial" w:hAnsi="Arial"/>
          <w:sz w:val="24"/>
          <w:szCs w:val="24"/>
        </w:rPr>
        <w:t xml:space="preserve"> – объекты градостроительного проектирования,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ind w:firstLine="397"/>
        <w:jc w:val="both"/>
      </w:pPr>
      <w:r>
        <w:rPr>
          <w:rFonts w:ascii="Arial" w:cs="Arial" w:eastAsia="Arial" w:hAnsi="Arial"/>
          <w:b/>
          <w:bCs/>
          <w:sz w:val="24"/>
          <w:szCs w:val="24"/>
        </w:rPr>
        <w:t xml:space="preserve">территориальное планирование</w:t>
      </w:r>
      <w:r>
        <w:rPr>
          <w:rFonts w:ascii="Arial" w:cs="Arial" w:eastAsia="Arial" w:hAnsi="Arial"/>
          <w:sz w:val="24"/>
          <w:szCs w:val="24"/>
        </w:rPr>
        <w:t xml:space="preserve"> – планирование развития территорий, установление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ind w:firstLine="397"/>
        <w:jc w:val="both"/>
      </w:pPr>
      <w:r>
        <w:rPr>
          <w:rFonts w:ascii="Arial" w:cs="Arial" w:eastAsia="Arial" w:hAnsi="Arial"/>
          <w:b/>
          <w:bCs/>
          <w:sz w:val="24"/>
          <w:szCs w:val="24"/>
        </w:rPr>
        <w:t xml:space="preserve">техническое регулирование в градостроительной деятельности</w:t>
      </w:r>
      <w:r>
        <w:rPr>
          <w:rFonts w:ascii="Arial" w:cs="Arial" w:eastAsia="Arial" w:hAnsi="Arial"/>
          <w:sz w:val="24"/>
          <w:szCs w:val="24"/>
        </w:rPr>
        <w:t xml:space="preserve"> – правовое регулирование отношений в области разработки и применения технических регламентов (при их отсутствии - строительных норм и правил), стандартов, в области оценки (подтверждения) соответствия строительной продукции, контроля и государственного надзора, осуществляемое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 нормируемое расстояние между зданиями и (или) сооружениями, устанавливаемое для предотвращения распространения пожара; </w:t>
      </w:r>
    </w:p>
    <w:p>
      <w:pPr>
        <w:spacing w:after="120"/>
        <w:ind w:firstLine="397"/>
        <w:jc w:val="both"/>
      </w:pPr>
      <w:r>
        <w:rPr>
          <w:rFonts w:ascii="Arial" w:cs="Arial" w:eastAsia="Arial" w:hAnsi="Arial"/>
          <w:b/>
          <w:bCs/>
          <w:sz w:val="24"/>
          <w:szCs w:val="24"/>
        </w:rPr>
        <w:t xml:space="preserve">улично-дорожная сеть</w:t>
      </w:r>
      <w:r>
        <w:rPr>
          <w:rFonts w:ascii="Arial" w:cs="Arial" w:eastAsia="Arial" w:hAnsi="Arial"/>
          <w:sz w:val="24"/>
          <w:szCs w:val="24"/>
        </w:rPr>
        <w:t xml:space="preserve"> –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населенного пункта;</w:t>
      </w:r>
    </w:p>
    <w:p>
      <w:pPr>
        <w:spacing w:after="120"/>
        <w:ind w:firstLine="397"/>
        <w:jc w:val="both"/>
      </w:pPr>
      <w:r>
        <w:rPr>
          <w:rFonts w:ascii="Arial" w:cs="Arial" w:eastAsia="Arial" w:hAnsi="Arial"/>
          <w:b/>
          <w:bCs/>
          <w:sz w:val="24"/>
          <w:szCs w:val="24"/>
        </w:rPr>
        <w:t xml:space="preserve">улица, площадь</w:t>
      </w:r>
      <w:r>
        <w:rPr>
          <w:rFonts w:ascii="Arial" w:cs="Arial" w:eastAsia="Arial" w:hAnsi="Arial"/>
          <w:sz w:val="24"/>
          <w:szCs w:val="24"/>
        </w:rPr>
        <w:t xml:space="preserve"> – территория, ограниченная красными линиями улично-дорожной сети города (населенного пункта);</w:t>
      </w:r>
    </w:p>
    <w:p>
      <w:pPr>
        <w:spacing w:after="120"/>
        <w:ind w:firstLine="397"/>
        <w:jc w:val="both"/>
      </w:pPr>
      <w:r>
        <w:rPr>
          <w:rFonts w:ascii="Arial" w:cs="Arial" w:eastAsia="Arial" w:hAnsi="Arial"/>
          <w:b/>
          <w:bCs/>
          <w:sz w:val="24"/>
          <w:szCs w:val="24"/>
        </w:rPr>
        <w:t xml:space="preserve">уникальные, технически сложные и особо опасные объекты</w:t>
      </w:r>
      <w:r>
        <w:rPr>
          <w:rFonts w:ascii="Arial" w:cs="Arial" w:eastAsia="Arial" w:hAnsi="Arial"/>
          <w:sz w:val="24"/>
          <w:szCs w:val="24"/>
        </w:rPr>
        <w:t xml:space="preserve"> – здания и сооружения высотой более 60 метров, главные корпуса ТЭЦ и крупные ГЭС, сооружения пролетом более 36 метров, тоннели длиной более 60 метров, а также объекты, определенные как экспериментальные или выполненные из конструкций, для которых применяются либо разрабатываются специальные методы расчета; </w:t>
      </w:r>
    </w:p>
    <w:p>
      <w:pPr>
        <w:spacing w:after="120"/>
        <w:ind w:firstLine="397"/>
        <w:jc w:val="both"/>
      </w:pPr>
      <w:r>
        <w:rPr>
          <w:rFonts w:ascii="Arial" w:cs="Arial" w:eastAsia="Arial" w:hAnsi="Arial"/>
          <w:b/>
          <w:bCs/>
          <w:sz w:val="24"/>
          <w:szCs w:val="24"/>
        </w:rPr>
        <w:t xml:space="preserve">устойчивое развитие территорий</w:t>
      </w:r>
      <w:r>
        <w:rPr>
          <w:rFonts w:ascii="Arial" w:cs="Arial" w:eastAsia="Arial" w:hAnsi="Arial"/>
          <w:sz w:val="24"/>
          <w:szCs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spacing w:after="120"/>
        <w:ind w:firstLine="397"/>
        <w:jc w:val="both"/>
      </w:pPr>
      <w:r>
        <w:rPr>
          <w:rFonts w:ascii="Arial" w:cs="Arial" w:eastAsia="Arial" w:hAnsi="Arial"/>
          <w:b/>
          <w:bCs/>
          <w:sz w:val="24"/>
          <w:szCs w:val="24"/>
        </w:rPr>
        <w:t xml:space="preserve">участок жилой, смешанной жилой застройки</w:t>
      </w:r>
      <w:r>
        <w:rPr>
          <w:rFonts w:ascii="Arial" w:cs="Arial" w:eastAsia="Arial" w:hAnsi="Arial"/>
          <w:sz w:val="24"/>
          <w:szCs w:val="24"/>
        </w:rPr>
        <w:t xml:space="preserve"> – территория площадью до 1,5 га, на которой размещаются жилые дома различной этажности с придомовой территорией;</w:t>
      </w:r>
    </w:p>
    <w:p>
      <w:pPr>
        <w:spacing w:after="120"/>
        <w:ind w:firstLine="397"/>
        <w:jc w:val="both"/>
      </w:pPr>
      <w:r>
        <w:rPr>
          <w:rFonts w:ascii="Arial" w:cs="Arial" w:eastAsia="Arial" w:hAnsi="Arial"/>
          <w:b/>
          <w:bCs/>
          <w:sz w:val="24"/>
          <w:szCs w:val="24"/>
        </w:rPr>
        <w:t xml:space="preserve">функционально-планировочное образование</w:t>
      </w:r>
      <w:r>
        <w:rPr>
          <w:rFonts w:ascii="Arial" w:cs="Arial" w:eastAsia="Arial" w:hAnsi="Arial"/>
          <w:sz w:val="24"/>
          <w:szCs w:val="24"/>
        </w:rPr>
        <w:t xml:space="preserve"> –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ind w:firstLine="397"/>
        <w:jc w:val="both"/>
      </w:pPr>
      <w:r>
        <w:rPr>
          <w:rFonts w:ascii="Arial" w:cs="Arial" w:eastAsia="Arial" w:hAnsi="Arial"/>
          <w:b/>
          <w:bCs/>
          <w:sz w:val="24"/>
          <w:szCs w:val="24"/>
        </w:rPr>
        <w:t xml:space="preserve">функциональные зоны</w:t>
      </w:r>
      <w:r>
        <w:rPr>
          <w:rFonts w:ascii="Arial" w:cs="Arial" w:eastAsia="Arial" w:hAnsi="Arial"/>
          <w:sz w:val="24"/>
          <w:szCs w:val="24"/>
        </w:rPr>
        <w:t xml:space="preserve"> – зоны, для которых документами территориального планирования определены границы и функциональное назначение;</w:t>
      </w:r>
    </w:p>
    <w:p>
      <w:pPr>
        <w:spacing w:after="120"/>
        <w:ind w:firstLine="397"/>
        <w:jc w:val="both"/>
      </w:pPr>
      <w:r>
        <w:rPr>
          <w:rFonts w:ascii="Arial" w:cs="Arial" w:eastAsia="Arial" w:hAnsi="Arial"/>
          <w:b/>
          <w:bCs/>
          <w:sz w:val="24"/>
          <w:szCs w:val="24"/>
        </w:rPr>
        <w:t xml:space="preserve">эскизный проект</w:t>
      </w:r>
      <w:r>
        <w:rPr>
          <w:rFonts w:ascii="Arial" w:cs="Arial" w:eastAsia="Arial" w:hAnsi="Arial"/>
          <w:sz w:val="24"/>
          <w:szCs w:val="24"/>
        </w:rPr>
        <w:t xml:space="preserve"> - упрощенный вид проектного решения, выполненного в форме эскиза (схема, чертеж, первоначальный набросок), выражающего основную идею проекта.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Концепция развития и общая организация территорий городов и населенных пунктов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Города и населенные пункты необходимо проектировать на основе схем расселения по республике и экономическим районам, региональных градостроительных программ, схем и проектов районной планировки, в увязке с комплексными программами научно-технического прогресса, схемами развития и размещения производительных сил, концепциями, основными направлениями и государственными программами экономического и социального развития, а также с учетом целевых комплексных программ, территориальных комплексных схем охраны природы, схем защиты территорий и населенных пунктов от опасных природно-техногенных процессов.</w:t>
      </w:r>
    </w:p>
    <w:p>
      <w:pPr>
        <w:spacing w:after="120"/>
        <w:ind w:firstLine="397"/>
        <w:jc w:val="both"/>
      </w:pPr>
      <w:r>
        <w:rPr>
          <w:rFonts w:ascii="Arial" w:cs="Arial" w:eastAsia="Arial" w:hAnsi="Arial"/>
          <w:sz w:val="24"/>
          <w:szCs w:val="24"/>
        </w:rPr>
        <w:t xml:space="preserve">4.2. Города и населенные пункты следует проектировать как элементы системы расселения Кыргызской Республики и входящих в нее систем расселения областей, административных районов, а также межобластных, межрайонных и межхозяйственных систем расселения. При этом следует учитывать формирование единых для систем расселения социальной, производственной, инженерно-транспортной и других инфраструктур, а также развиваемые на перспективу трудовые, культурно-бытовые и рекреационные связи в пределах зоны влияния населенного пункта - центра или подцентра системы расселения.</w:t>
      </w:r>
    </w:p>
    <w:p>
      <w:pPr>
        <w:spacing w:after="120"/>
        <w:ind w:firstLine="397"/>
        <w:jc w:val="both"/>
      </w:pPr>
      <w:r>
        <w:rPr>
          <w:rFonts w:ascii="Arial" w:cs="Arial" w:eastAsia="Arial" w:hAnsi="Arial"/>
          <w:sz w:val="24"/>
          <w:szCs w:val="24"/>
        </w:rPr>
        <w:t xml:space="preserve">4.3. В проектах планировки и застройки городов и населенных пунктов необходимо предусматривать рациональную очередность их развития в увязке с концепцией и основными направлениями экономического и социального развития Кыргызской Республики и комплексной программой научно-технического прогресса: программами экономического и социального развития областей, районов. При этом необходимо определять перспективы развития населенных пунктов за пределами расчетного срока, включая принципиальные решения по территориальному развитию, функциональному зонированию, планировочной структуре, инженерно-транспортной инфраструктуре, рациональному использованию природных ресурсов и охране окружающей среды.</w:t>
      </w:r>
    </w:p>
    <w:p>
      <w:pPr>
        <w:spacing w:after="120"/>
        <w:ind w:firstLine="397"/>
        <w:jc w:val="both"/>
      </w:pPr>
      <w:r>
        <w:rPr>
          <w:rFonts w:ascii="Arial" w:cs="Arial" w:eastAsia="Arial" w:hAnsi="Arial"/>
          <w:sz w:val="24"/>
          <w:szCs w:val="24"/>
        </w:rPr>
        <w:t xml:space="preserve">Расчетный срок генеральных планов 25 лет, а градостроительный прогноз может охватывать 30-40 лет.</w:t>
      </w:r>
    </w:p>
    <w:p>
      <w:pPr>
        <w:spacing w:after="120"/>
        <w:ind w:firstLine="397"/>
        <w:jc w:val="both"/>
      </w:pPr>
      <w:r>
        <w:rPr>
          <w:rFonts w:ascii="Arial" w:cs="Arial" w:eastAsia="Arial" w:hAnsi="Arial"/>
          <w:sz w:val="24"/>
          <w:szCs w:val="24"/>
        </w:rPr>
        <w:t xml:space="preserve">4.4. Численность населения на расчетный срок следует определять на основе демографических данных о перспективах развития населенных пунктов в системе расселения с учетом демографического прогноза естественного и механического прироста населения и маятниковых миграций.</w:t>
      </w:r>
    </w:p>
    <w:p>
      <w:pPr>
        <w:spacing w:after="120"/>
        <w:ind w:firstLine="397"/>
        <w:jc w:val="both"/>
      </w:pPr>
      <w:r>
        <w:rPr>
          <w:rFonts w:ascii="Arial" w:cs="Arial" w:eastAsia="Arial" w:hAnsi="Arial"/>
          <w:sz w:val="24"/>
          <w:szCs w:val="24"/>
        </w:rPr>
        <w:t xml:space="preserve">4.5. Территорию для развития городов и населенных пунктов необходимо выбирать с учетом возможности ее рационального функционального использования на основе сравнения вариантов архитектурно-планировочных решений, технико-экономических, санитарно-гигиенических показателей, топливно-энергетических, водных, территориальных ресурсов, состояния окружающей среды с учетом прогноза изменения на перспективу природных и других условий. При этом должно быть обоснованные необходимости по изъятию земель для государственных и общественных нужд. Перевод особо ценных сельскохозяйственных угодий в другие виды или другую категорию земель производится согласно пункту 4 статьи 74 Земельного кодекса Кыргызской Республики. Территория для строительства нового или реконструкции существующего города или другого населенного пункта должна иметь размеры, достаточные для размещения объектов строительства всех видов, с учетом возможности их перспективного развития, а также благоприятные условия для устройства водоснабжения, канализации и орошения.</w:t>
      </w:r>
    </w:p>
    <w:p>
      <w:pPr>
        <w:spacing w:after="120"/>
        <w:ind w:firstLine="397"/>
        <w:jc w:val="both"/>
      </w:pPr>
      <w:r>
        <w:rPr>
          <w:rFonts w:ascii="Arial" w:cs="Arial" w:eastAsia="Arial" w:hAnsi="Arial"/>
          <w:sz w:val="24"/>
          <w:szCs w:val="24"/>
        </w:rPr>
        <w:t xml:space="preserve">4.6. Планировка и застройка городских населенных мест должны осуществляться в соответствии с градостроительной документацией, генеральными планами городов и населенных пунктов, учитывающих требования пожарной безопасности настоящим и другими техническими регламентами. Состав и функциональные характеристики систем обеспечения пожарной безопасности населенных пунктов должны входить в проектную документацию в виде раздела «Перечень мероприятий по обеспечению пожарной безопасности. </w:t>
      </w:r>
    </w:p>
    <w:p>
      <w:pPr>
        <w:spacing w:after="120"/>
        <w:ind w:firstLine="397"/>
        <w:jc w:val="both"/>
      </w:pPr>
      <w:r>
        <w:rPr>
          <w:rFonts w:ascii="Arial" w:cs="Arial" w:eastAsia="Arial" w:hAnsi="Arial"/>
          <w:sz w:val="24"/>
          <w:szCs w:val="24"/>
        </w:rPr>
        <w:t xml:space="preserve">4.6. Предоставление земельных участков под застройку на площадях залегания полезных ископаемых производится по согласованию с уполномоченного государственного органа по геологии и минеральным ресурсом.</w:t>
      </w:r>
    </w:p>
    <w:p>
      <w:pPr>
        <w:spacing w:after="120"/>
        <w:ind w:firstLine="397"/>
        <w:jc w:val="both"/>
      </w:pPr>
      <w:r>
        <w:rPr>
          <w:rFonts w:ascii="Arial" w:cs="Arial" w:eastAsia="Arial" w:hAnsi="Arial"/>
          <w:sz w:val="24"/>
          <w:szCs w:val="24"/>
        </w:rPr>
        <w:t xml:space="preserve">4.7. С учетом преимущественного функционального использования территория города подразделяется на селитебную, производственную и ландшафтно-рекреационную.</w:t>
      </w:r>
    </w:p>
    <w:p>
      <w:pPr>
        <w:spacing w:after="120"/>
        <w:ind w:firstLine="397"/>
        <w:jc w:val="both"/>
      </w:pPr>
      <w:r>
        <w:rPr>
          <w:rFonts w:ascii="Arial" w:cs="Arial" w:eastAsia="Arial" w:hAnsi="Arial"/>
          <w:sz w:val="24"/>
          <w:szCs w:val="24"/>
        </w:rPr>
        <w:t xml:space="preserve">Селитебная территория предназначена для размещения 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w:t>
      </w:r>
    </w:p>
    <w:p>
      <w:pPr>
        <w:spacing w:after="120"/>
        <w:ind w:firstLine="397"/>
        <w:jc w:val="both"/>
      </w:pPr>
      <w:r>
        <w:rPr>
          <w:rFonts w:ascii="Arial" w:cs="Arial" w:eastAsia="Arial" w:hAnsi="Arial"/>
          <w:b/>
          <w:bCs/>
          <w:sz w:val="24"/>
          <w:szCs w:val="24"/>
        </w:rPr>
        <w:t xml:space="preserve">Производственная территория</w:t>
      </w:r>
      <w:r>
        <w:rPr>
          <w:rFonts w:ascii="Arial" w:cs="Arial" w:eastAsia="Arial" w:hAnsi="Arial"/>
          <w:sz w:val="24"/>
          <w:szCs w:val="24"/>
        </w:rPr>
        <w:t xml:space="preserve"> предназначена для размещения промышленных предприятий и связанных с ними опытными производствами, коммунально-складских объектов, сооружений внешнего транспорта, путей внегородского и пригородного сообщений.</w:t>
      </w:r>
    </w:p>
    <w:p>
      <w:pPr>
        <w:spacing w:after="120"/>
        <w:ind w:firstLine="397"/>
        <w:jc w:val="both"/>
      </w:pPr>
      <w:r>
        <w:rPr>
          <w:rFonts w:ascii="Arial" w:cs="Arial" w:eastAsia="Arial" w:hAnsi="Arial"/>
          <w:b/>
          <w:bCs/>
          <w:sz w:val="24"/>
          <w:szCs w:val="24"/>
        </w:rPr>
        <w:t xml:space="preserve">Ландшафтно-рекреационная </w:t>
      </w:r>
      <w:r>
        <w:rPr>
          <w:rFonts w:ascii="Arial" w:cs="Arial" w:eastAsia="Arial" w:hAnsi="Arial"/>
          <w:sz w:val="24"/>
          <w:szCs w:val="24"/>
        </w:rPr>
        <w:t xml:space="preserve">территория включает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размещаемыми на селитебной территории, формируют систему открытых пространств.</w:t>
      </w:r>
    </w:p>
    <w:p>
      <w:pPr>
        <w:spacing w:after="120"/>
        <w:ind w:firstLine="397"/>
        <w:jc w:val="both"/>
      </w:pPr>
      <w:r>
        <w:rPr>
          <w:rFonts w:ascii="Arial" w:cs="Arial" w:eastAsia="Arial" w:hAnsi="Arial"/>
          <w:sz w:val="24"/>
          <w:szCs w:val="24"/>
        </w:rPr>
        <w:t xml:space="preserve">В пределах указанных территорий выделяются зоны различного функционального назначения: коммунально-складские, внешнего транспорта, массового отдыха, курортные (в городах и поселках, имеющих лечебные ресурсы), охраняемых ландшафтов.</w:t>
      </w:r>
    </w:p>
    <w:p>
      <w:pPr>
        <w:spacing w:after="120"/>
        <w:ind w:firstLine="397"/>
        <w:jc w:val="both"/>
      </w:pPr>
      <w:r>
        <w:rPr>
          <w:rFonts w:ascii="Arial" w:cs="Arial" w:eastAsia="Arial" w:hAnsi="Arial"/>
          <w:sz w:val="24"/>
          <w:szCs w:val="24"/>
        </w:rPr>
        <w:t xml:space="preserve">В исторических городах следует выделять зоны исторической застройки.</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4.7.1. При соблюдении санитарно-гигиенических и других требований к совместному размещению объектов разного функционального назначения допускается создание многофункциональных зон, должны быть предусмотрены с учетом существующих зданий с различными функциями. </w:t>
      </w:r>
    </w:p>
    <w:p>
      <w:pPr>
        <w:spacing w:after="120"/>
        <w:ind w:firstLine="397"/>
        <w:jc w:val="both"/>
      </w:pPr>
      <w:r>
        <w:rPr>
          <w:rFonts w:ascii="Arial" w:cs="Arial" w:eastAsia="Arial" w:hAnsi="Arial"/>
          <w:sz w:val="24"/>
          <w:szCs w:val="24"/>
        </w:rPr>
        <w:t xml:space="preserve">4.7.2. В районах, подверженных действию опасных и катастрофических природных явлений (землетрясения, сели, оползни и обвалы), зонирование территории населенных пунктов следует предусматривать с учетом уменьшения степени риска и обеспечения устойчивости функционирования. В зонах с наибольшей степенью риска следует размещать парки, сады, открытые спортивные площадки и другие свободные от застройки элементы.</w:t>
      </w:r>
    </w:p>
    <w:p>
      <w:pPr>
        <w:spacing w:after="120"/>
        <w:ind w:firstLine="397"/>
        <w:jc w:val="both"/>
      </w:pPr>
      <w:r>
        <w:rPr>
          <w:rFonts w:ascii="Arial" w:cs="Arial" w:eastAsia="Arial" w:hAnsi="Arial"/>
          <w:sz w:val="24"/>
          <w:szCs w:val="24"/>
        </w:rPr>
        <w:t xml:space="preserve">В сейсмических районах функциональное зонирование территории следует предусматривать на основе микрорайонирования по условиям сейсмичности. </w:t>
      </w:r>
    </w:p>
    <w:p>
      <w:pPr>
        <w:spacing w:after="120"/>
        <w:ind w:firstLine="397"/>
        <w:jc w:val="both"/>
      </w:pPr>
      <w:r>
        <w:rPr>
          <w:rFonts w:ascii="Arial" w:cs="Arial" w:eastAsia="Arial" w:hAnsi="Arial"/>
          <w:sz w:val="24"/>
          <w:szCs w:val="24"/>
        </w:rPr>
        <w:t xml:space="preserve">4.7.3. В районах со сложными инженерно-геологическими условиями под застройку необходимо использовать участки, требующие меньших затрат на инженерную подготовку, строительство и эксплуатацию зданий и сооружений.</w:t>
      </w:r>
    </w:p>
    <w:p>
      <w:pPr>
        <w:spacing w:after="120"/>
        <w:ind w:firstLine="397"/>
        <w:jc w:val="both"/>
      </w:pPr>
      <w:r>
        <w:rPr>
          <w:rFonts w:ascii="Arial" w:cs="Arial" w:eastAsia="Arial" w:hAnsi="Arial"/>
          <w:sz w:val="24"/>
          <w:szCs w:val="24"/>
        </w:rPr>
        <w:t xml:space="preserve">4.8. Планировочную структуру городов и населенных пунктов следует формировать, обеспечивая компактное размещение и взаимосвязь функциональных зон, рациональное районирование территории в увязке с системой общественных центров, инженерно-транспортной инфраструктурой, эффективное использование территории в зависимости от ее градостроительной ценности, комплексный учет архитектурно-градостроительных традиций, природно-климатических, ландшафтных, национально-бытовых и других местных особенностей, охрану окружающей среды, памятников истории и культуры, возможность проведения пожарно-спасательных работ, в соответствии с установленными требованиями. </w:t>
      </w:r>
    </w:p>
    <w:p>
      <w:pPr>
        <w:spacing w:after="120"/>
        <w:ind w:firstLine="397"/>
        <w:jc w:val="both"/>
      </w:pPr>
      <w:r>
        <w:rPr>
          <w:rFonts w:ascii="Arial" w:cs="Arial" w:eastAsia="Arial" w:hAnsi="Arial"/>
          <w:sz w:val="24"/>
          <w:szCs w:val="24"/>
        </w:rPr>
        <w:t xml:space="preserve">4.9. В крупнейших и крупных городах следует обеспечивать комплексное использование подземного пространства для взаимоувязанного размещения в нем сооружений городского транспорта, предприятий торговли, общественного питания и коммунально-бытового обслуживания, отдельных зрелищных и спортивных сооружений, подсобно-вспомогательных помещений административных, общественных, жилых зданий, объектов систем инженерного оборудования, производственных и коммунально-складских объектов различного назначения.</w:t>
      </w:r>
    </w:p>
    <w:p>
      <w:pPr>
        <w:spacing w:after="120"/>
        <w:ind w:firstLine="397"/>
        <w:jc w:val="both"/>
      </w:pPr>
      <w:r>
        <w:rPr>
          <w:rFonts w:ascii="Arial" w:cs="Arial" w:eastAsia="Arial" w:hAnsi="Arial"/>
          <w:sz w:val="24"/>
          <w:szCs w:val="24"/>
        </w:rPr>
        <w:t xml:space="preserve">4.10. На территориях, прилегающих к городам, следует предусматривать пригородные зоны для использования их в качестве резервов последующего развития городов и размещения объектов хозяйственного обслуживания, а в составе пригородных зон – зеленые зоны, предназначенные для организации отдыха населения, улучшения микроклимата, состояния атмосферного воздуха и санитарно-гигиенических условий.</w:t>
      </w:r>
    </w:p>
    <w:p>
      <w:pPr>
        <w:spacing w:after="120"/>
        <w:ind w:firstLine="397"/>
        <w:jc w:val="both"/>
      </w:pPr>
      <w:r>
        <w:rPr>
          <w:rFonts w:ascii="Arial" w:cs="Arial" w:eastAsia="Arial" w:hAnsi="Arial"/>
          <w:sz w:val="24"/>
          <w:szCs w:val="24"/>
        </w:rPr>
        <w:t xml:space="preserve">При определении границ пригородной зоны следует учитывать взаимосвязанное развитие городских и сельских населенных пунктов, границы административных районов, сельскохозяйственных и других предприятий. Для городов, входящих в формируемую групповую систему расселения, следует предусматривать общую пригородную зону.</w:t>
      </w:r>
    </w:p>
    <w:p>
      <w:pPr>
        <w:spacing w:after="120"/>
        <w:ind w:firstLine="397"/>
        <w:jc w:val="both"/>
      </w:pPr>
      <w:r>
        <w:rPr>
          <w:rFonts w:ascii="Arial" w:cs="Arial" w:eastAsia="Arial" w:hAnsi="Arial"/>
          <w:sz w:val="24"/>
          <w:szCs w:val="24"/>
        </w:rPr>
        <w:t xml:space="preserve">4.11. Размещение подсобных сельских хозяйств предприятий, организаций и учреждений, а также участков для коллективных садов и огородов следует предусматривать, на территории пригородной зоны. Объекты жилищно-гражданского строительства подсобных сельских хозяйств, следует размещать на территории существующих сельских населенных пунктов.</w:t>
      </w:r>
    </w:p>
    <w:p>
      <w:pPr>
        <w:spacing w:after="120"/>
        <w:ind w:firstLine="397"/>
        <w:jc w:val="both"/>
      </w:pPr>
      <w:r>
        <w:rPr>
          <w:rFonts w:ascii="Arial" w:cs="Arial" w:eastAsia="Arial" w:hAnsi="Arial"/>
          <w:sz w:val="24"/>
          <w:szCs w:val="24"/>
        </w:rPr>
        <w:t xml:space="preserve">4.12. Строительство отдельных санаторно-курортных учреждений и учреждений отдыха без предварительной разработки генерального плана всего курорта или зоны отдыха, а также без проектов детальной планировки комплексов, не допускается.</w:t>
      </w:r>
    </w:p>
    <w:p>
      <w:pPr>
        <w:spacing w:after="120"/>
        <w:ind w:firstLine="397"/>
        <w:jc w:val="both"/>
      </w:pPr>
      <w:r>
        <w:rPr>
          <w:rFonts w:ascii="Arial" w:cs="Arial" w:eastAsia="Arial" w:hAnsi="Arial"/>
          <w:sz w:val="24"/>
          <w:szCs w:val="24"/>
        </w:rPr>
        <w:t xml:space="preserve">Заданием на разработку генеральных планов курортов определяются профиль и проектная вместимость санаторно-курортных учреждений в соответствии с комплексной оценкой запасов минеральной воды и лечебной грязи, оценкой пляжных ресурсов, размеров благоприятной для застройки территории и других факторов.</w:t>
      </w:r>
    </w:p>
    <w:p>
      <w:pPr>
        <w:spacing w:after="120"/>
        <w:ind w:firstLine="397"/>
        <w:jc w:val="both"/>
      </w:pPr>
      <w:r>
        <w:rPr>
          <w:rFonts w:ascii="Arial" w:cs="Arial" w:eastAsia="Arial" w:hAnsi="Arial"/>
          <w:sz w:val="24"/>
          <w:szCs w:val="24"/>
        </w:rPr>
        <w:t xml:space="preserve">4.13. На территории курортов и зон отдыха запрещается строительство новых и расширение действующих промышленных предприятий и других объектов, не связанных непосредственно с обслуживанием постоянного и временного населения. В Иссык-Кульской курортной зоне строительство указанных объектов, а также индивидуальное жилищное строительство и строительство животноводческих ферм запрещено в пределах двух километровой прибрежной зоны.</w:t>
      </w:r>
    </w:p>
    <w:p>
      <w:pPr>
        <w:spacing w:after="120"/>
        <w:ind w:firstLine="397"/>
        <w:jc w:val="both"/>
      </w:pPr>
      <w:r>
        <w:rPr>
          <w:rFonts w:ascii="Arial" w:cs="Arial" w:eastAsia="Arial" w:hAnsi="Arial"/>
          <w:sz w:val="24"/>
          <w:szCs w:val="24"/>
        </w:rPr>
        <w:t xml:space="preserve">4.14. Существующие в пределах курортов и зон отдыха промышленные и сельскохозяйственные предприятия, являющиеся источниками вредного воздействия на окружающую среду, подлежат планомерному выводу за пределы территории курортов и зон отдыха или изменению профиля их производства.</w:t>
      </w:r>
    </w:p>
    <w:p>
      <w:pPr>
        <w:spacing w:after="120"/>
        <w:ind w:firstLine="397"/>
        <w:jc w:val="both"/>
      </w:pPr>
      <w:r>
        <w:rPr>
          <w:rFonts w:ascii="Arial" w:cs="Arial" w:eastAsia="Arial" w:hAnsi="Arial"/>
          <w:sz w:val="24"/>
          <w:szCs w:val="24"/>
        </w:rPr>
        <w:t xml:space="preserve">4.15. В проектах планировки и застройки курортов и зон отдыха должно быть обеспечено зонирование территории по видам ее использования с выделением следующих основных функциональных зон:</w:t>
      </w:r>
    </w:p>
    <w:p>
      <w:pPr>
        <w:spacing w:after="120"/>
        <w:ind w:firstLine="397"/>
        <w:jc w:val="both"/>
      </w:pPr>
      <w:r>
        <w:rPr>
          <w:rFonts w:ascii="Arial" w:cs="Arial" w:eastAsia="Arial" w:hAnsi="Arial"/>
          <w:sz w:val="24"/>
          <w:szCs w:val="24"/>
        </w:rPr>
        <w:t xml:space="preserve">курортной, а в зонах отдыха - оздоровительной - для размещения комплексов и отдельных санаторно-курортных учреждений и учреждений отдыха, общекурортных центров и центров зон отдыха, зеленых насаждений общего пользования и пляжей;</w:t>
      </w:r>
    </w:p>
    <w:p>
      <w:pPr>
        <w:spacing w:after="120"/>
        <w:ind w:firstLine="397"/>
        <w:jc w:val="both"/>
      </w:pPr>
      <w:r>
        <w:rPr>
          <w:rFonts w:ascii="Arial" w:cs="Arial" w:eastAsia="Arial" w:hAnsi="Arial"/>
          <w:sz w:val="24"/>
          <w:szCs w:val="24"/>
        </w:rPr>
        <w:t xml:space="preserve">селитебной - для расселения постоянного населения курортов и зон отдыха;</w:t>
      </w:r>
    </w:p>
    <w:p>
      <w:pPr>
        <w:spacing w:after="120"/>
        <w:ind w:firstLine="397"/>
        <w:jc w:val="both"/>
      </w:pPr>
      <w:r>
        <w:rPr>
          <w:rFonts w:ascii="Arial" w:cs="Arial" w:eastAsia="Arial" w:hAnsi="Arial"/>
          <w:sz w:val="24"/>
          <w:szCs w:val="24"/>
        </w:rPr>
        <w:t xml:space="preserve">коммунально-складской - для размещения баз и складов, котельных, прачечных, гаражей, автопарков, а также промышленных предприятий, связанных с обслуживанием курортов и зон отдыха;</w:t>
      </w:r>
    </w:p>
    <w:p>
      <w:pPr>
        <w:spacing w:after="120"/>
        <w:ind w:firstLine="397"/>
        <w:jc w:val="both"/>
      </w:pPr>
      <w:r>
        <w:rPr>
          <w:rFonts w:ascii="Arial" w:cs="Arial" w:eastAsia="Arial" w:hAnsi="Arial"/>
          <w:sz w:val="24"/>
          <w:szCs w:val="24"/>
        </w:rPr>
        <w:t xml:space="preserve">зеленой зоны курортов и зоны отдыха - для создания необходимого санитарно-гигиенического режима курортов и зон отдыха.</w:t>
      </w:r>
    </w:p>
    <w:p>
      <w:pPr>
        <w:spacing w:after="120"/>
        <w:ind w:firstLine="397"/>
        <w:jc w:val="both"/>
      </w:pPr>
      <w:r>
        <w:rPr>
          <w:rFonts w:ascii="Arial" w:cs="Arial" w:eastAsia="Arial" w:hAnsi="Arial"/>
          <w:sz w:val="24"/>
          <w:szCs w:val="24"/>
        </w:rPr>
        <w:t xml:space="preserve">4.16. Детские санатории и учреждения отдыха следует размещать в самостоятельных зонах, и отделять их от учреждений для взрослых полосой зеленых насаждений шириной не менее 100 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Селитебная территория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Планировочную структуру селитебной территории городов и населенных пунктов следует формировать с учетом взаимоувязанного размещения зон общественных центров, жилой застройки, улично-дорожной сети, озелененных территорий общего пользования, мест приложения труда, а также в увязке с планировочной структурой населенного пункта в целом в зависимости от его величины и природных особенностей территории. </w:t>
      </w:r>
    </w:p>
    <w:p>
      <w:pPr>
        <w:spacing w:after="120"/>
        <w:ind w:firstLine="397"/>
        <w:jc w:val="both"/>
      </w:pPr>
      <w:r>
        <w:rPr>
          <w:rFonts w:ascii="Arial" w:cs="Arial" w:eastAsia="Arial" w:hAnsi="Arial"/>
          <w:sz w:val="24"/>
          <w:szCs w:val="24"/>
        </w:rPr>
        <w:t xml:space="preserve">Для предварительного определения потребности в селитебной территории следует принимать укрупненные показатели в расчете на 1000 чел.: в городах при средней этажности жилой застройки до 3 этажей - 10 га для застройки без земельных участков и 20 га - для застройки с участками; от 4 до 8 этажей - 8 га.</w:t>
      </w:r>
    </w:p>
    <w:p>
      <w:pPr>
        <w:spacing w:after="120"/>
        <w:ind w:firstLine="397"/>
        <w:jc w:val="both"/>
      </w:pPr>
      <w:r>
        <w:rPr>
          <w:rFonts w:ascii="Arial" w:cs="Arial" w:eastAsia="Arial" w:hAnsi="Arial"/>
          <w:sz w:val="24"/>
          <w:szCs w:val="24"/>
        </w:rPr>
        <w:t xml:space="preserve">Для климатических подрайонов (жилой район, микрорайон, квартал) I А, I В, I Г, II В, II Б указанные показатели допускается уменьшать, но не более чем на 30 процентов.</w:t>
      </w:r>
    </w:p>
    <w:p>
      <w:pPr>
        <w:spacing w:after="120"/>
        <w:ind w:firstLine="397"/>
        <w:jc w:val="both"/>
      </w:pPr>
      <w:r>
        <w:rPr>
          <w:rFonts w:ascii="Arial" w:cs="Arial" w:eastAsia="Arial" w:hAnsi="Arial"/>
          <w:sz w:val="24"/>
          <w:szCs w:val="24"/>
        </w:rPr>
        <w:t xml:space="preserve">При этом, селитебную территорию в городах необходимо расчленять на районы площадью не более 250 га магистралями или полосами зеленых насаждений шириной не менее 100 м.</w:t>
      </w:r>
    </w:p>
    <w:p>
      <w:pPr>
        <w:spacing w:after="120"/>
        <w:ind w:firstLine="397"/>
        <w:jc w:val="both"/>
      </w:pPr>
      <w:r>
        <w:rPr>
          <w:rFonts w:ascii="Arial" w:cs="Arial" w:eastAsia="Arial" w:hAnsi="Arial"/>
          <w:sz w:val="24"/>
          <w:szCs w:val="24"/>
        </w:rPr>
        <w:t xml:space="preserve">5.2. При определении размера селитебной территории следует исходить из необходимости предоставления каждой семье отдельной квартиры или дома. Расчетная жилищная обеспеченность определяется дифференцированно для городов в целом и отдельных их районов на основе прогнозных данных о среднем размере семьи, с учетом типов применяемых жилых зданий, планируемых объемов жилищного строительства. </w:t>
      </w:r>
    </w:p>
    <w:p>
      <w:pPr>
        <w:spacing w:after="120"/>
        <w:ind w:firstLine="397"/>
        <w:jc w:val="both"/>
      </w:pPr>
      <w:r>
        <w:rPr>
          <w:rFonts w:ascii="Arial" w:cs="Arial" w:eastAsia="Arial" w:hAnsi="Arial"/>
          <w:sz w:val="24"/>
          <w:szCs w:val="24"/>
        </w:rPr>
        <w:t xml:space="preserve">5.3. Размещение индивидуального строительства в городах следует предусматривать:</w:t>
      </w:r>
    </w:p>
    <w:p>
      <w:pPr>
        <w:spacing w:after="120"/>
        <w:ind w:firstLine="397"/>
        <w:jc w:val="both"/>
      </w:pPr>
      <w:r>
        <w:rPr>
          <w:rFonts w:ascii="Arial" w:cs="Arial" w:eastAsia="Arial" w:hAnsi="Arial"/>
          <w:sz w:val="24"/>
          <w:szCs w:val="24"/>
        </w:rPr>
        <w:t xml:space="preserve">в пределах городской черты - преимущественно на свободных территориях, включая территории, ранее считавшиеся не пригодными для строительства, а также на территориях реконструируемой застройки (на участках существующей индивидуальной усадебной застройки, в районах без усадебной застройки при ее уплотнении и в целях сохранения характера сложившейся городской среды);</w:t>
      </w:r>
    </w:p>
    <w:p>
      <w:pPr>
        <w:spacing w:after="120"/>
        <w:ind w:firstLine="397"/>
        <w:jc w:val="both"/>
      </w:pPr>
      <w:r>
        <w:rPr>
          <w:rFonts w:ascii="Arial" w:cs="Arial" w:eastAsia="Arial" w:hAnsi="Arial"/>
          <w:sz w:val="24"/>
          <w:szCs w:val="24"/>
        </w:rPr>
        <w:t xml:space="preserve">на территориях пригородных зон - на резервных территориях, включаемых в городскую черту; в новых и развивающихся населенных местах, расположенных в пределах транспортной доступности города 30-40 мин.</w:t>
      </w:r>
    </w:p>
    <w:p>
      <w:pPr>
        <w:spacing w:after="120"/>
        <w:ind w:firstLine="397"/>
        <w:jc w:val="both"/>
      </w:pPr>
      <w:r>
        <w:rPr>
          <w:rFonts w:ascii="Arial" w:cs="Arial" w:eastAsia="Arial" w:hAnsi="Arial"/>
          <w:sz w:val="24"/>
          <w:szCs w:val="24"/>
        </w:rPr>
        <w:t xml:space="preserve">Районы индивидуальной усадебной застройки в городах не следует размещать на главных направлениях развития многоэтажного строительства на перспективу.</w:t>
      </w:r>
    </w:p>
    <w:p>
      <w:pPr>
        <w:spacing w:after="120"/>
        <w:ind w:firstLine="397"/>
        <w:jc w:val="both"/>
      </w:pPr>
      <w:r>
        <w:rPr>
          <w:rFonts w:ascii="Arial" w:cs="Arial" w:eastAsia="Arial" w:hAnsi="Arial"/>
          <w:sz w:val="24"/>
          <w:szCs w:val="24"/>
        </w:rPr>
        <w:t xml:space="preserve">В районах индивидуальной застройки следует предусматривать озеленение, благоустройство и инженерное оборудование территории, размещение учреждений и предприятий обслуживания повседневного пользования.</w:t>
      </w:r>
    </w:p>
    <w:p>
      <w:pPr>
        <w:spacing w:after="120"/>
        <w:ind w:firstLine="397"/>
        <w:jc w:val="both"/>
      </w:pPr>
      <w:r>
        <w:rPr>
          <w:rFonts w:ascii="Arial" w:cs="Arial" w:eastAsia="Arial" w:hAnsi="Arial"/>
          <w:sz w:val="24"/>
          <w:szCs w:val="24"/>
        </w:rPr>
        <w:t xml:space="preserve">5.4. Для климатических подрайонов IA, IB, IГ, IIB, IIБ в городах, расположенных на высоте 1000 м и более над уровнем моря, допускается применение жилых домов без лифтов не выше 4 этажей.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Общественные центры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В городах следует формировать систему общественных центров, включающую общегородской центр, центры планировочных районов, жилых и промышленных районов, зон отдыха, торгово-бытовые центры повседневного пользования, а также специализированные центры (медицинские, учебные, спортивные и др.), которые допускается размещать в пригородной зоне.</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5.6.1. Число, состав и размещение отдельных объектов в общественном центре принимаются с учетом величины города, его роли в системе расселения и функционально-планировочной организации территории. В крупных и крупнейших городах, а также в городах с расчлененной структурой общегородской центр, дополняется подцентрами городского значения. В малых городах и населенных пунктов, формируется единый общественный центр, дополняемый объектами повседневного пользования в жилой застройке.</w:t>
      </w:r>
    </w:p>
    <w:p>
      <w:pPr>
        <w:spacing w:after="120"/>
        <w:ind w:firstLine="397"/>
        <w:jc w:val="both"/>
      </w:pPr>
      <w:r>
        <w:rPr>
          <w:rFonts w:ascii="Arial" w:cs="Arial" w:eastAsia="Arial" w:hAnsi="Arial"/>
          <w:sz w:val="24"/>
          <w:szCs w:val="24"/>
        </w:rPr>
        <w:t xml:space="preserve">5.7. В общегородском центре в зависимости от его размеров и планировочной организации следует формировать системы взаимосвязанных общественных пространств (главных улиц, площадей, пешеходных зон), составляющих ядро общегородского центра.</w:t>
      </w:r>
    </w:p>
    <w:p>
      <w:pPr>
        <w:spacing w:after="120"/>
        <w:ind w:firstLine="397"/>
        <w:jc w:val="both"/>
      </w:pPr>
      <w:r>
        <w:rPr>
          <w:rFonts w:ascii="Arial" w:cs="Arial" w:eastAsia="Arial" w:hAnsi="Arial"/>
          <w:sz w:val="24"/>
          <w:szCs w:val="24"/>
        </w:rPr>
        <w:t xml:space="preserve">В исторических городах ядро общегородского центра допускается формировать полностью или частично в пределах зоны исторической застройки при условии обеспечения целостности сложившейся исторической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Жилая застройка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При проектировании жилой застройки, выделяются два основных уровня структурной организации селитебной территории:</w:t>
      </w:r>
    </w:p>
    <w:p>
      <w:pPr>
        <w:spacing w:after="120"/>
        <w:ind w:firstLine="397"/>
        <w:jc w:val="both"/>
      </w:pPr>
      <w:r>
        <w:rPr>
          <w:rFonts w:ascii="Arial" w:cs="Arial" w:eastAsia="Arial" w:hAnsi="Arial"/>
          <w:sz w:val="24"/>
          <w:szCs w:val="24"/>
        </w:rPr>
        <w:t xml:space="preserve">микрорайон (квартал) - структурный элемент жилой застройки площадью 60 га, не расчлененный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500 м (кроме школ и детских дошкольных учреждений, радиус обслуживания которых определяется в соответствии с таблицей 4 настоящего свода правил); границами, являются магистральные или жилые улицы, проезды, пешеходные пути, естественные рубежи;</w:t>
      </w:r>
    </w:p>
    <w:p>
      <w:pPr>
        <w:spacing w:after="120"/>
        <w:ind w:firstLine="397"/>
        <w:jc w:val="both"/>
      </w:pPr>
      <w:r>
        <w:rPr>
          <w:rFonts w:ascii="Arial" w:cs="Arial" w:eastAsia="Arial" w:hAnsi="Arial"/>
          <w:sz w:val="24"/>
          <w:szCs w:val="24"/>
        </w:rPr>
        <w:t xml:space="preserve">жилой район - структурный элемент селитебной территории площадью, от 80 до 250 га. В пределах которого размещаются учреждения и предприятия с радиусом обслуживания не более 1500 м, а также часть объектов городского значения; границами, являются труднопреодолимые естественные и искусственные рубежи, магистральные улицы и дороги общегородского значения.</w:t>
      </w:r>
    </w:p>
    <w:p>
      <w:pPr>
        <w:spacing w:after="120"/>
        <w:ind w:firstLine="397"/>
        <w:jc w:val="both"/>
      </w:pPr>
      <w:r>
        <w:rPr>
          <w:rFonts w:ascii="Arial" w:cs="Arial" w:eastAsia="Arial" w:hAnsi="Arial"/>
          <w:sz w:val="24"/>
          <w:szCs w:val="24"/>
        </w:rPr>
        <w:t xml:space="preserve">5.9. Этажность жилой застройки определяется на основе технико-экономических расчетов с учетом архитектурно-композиционных, социально-бытовых, гигиенических, демографических требований, особенностей строительной базы и уровня инженерного оборудования.</w:t>
      </w:r>
    </w:p>
    <w:p>
      <w:pPr>
        <w:spacing w:after="120"/>
        <w:ind w:firstLine="397"/>
        <w:jc w:val="both"/>
      </w:pPr>
      <w:r>
        <w:rPr>
          <w:rFonts w:ascii="Arial" w:cs="Arial" w:eastAsia="Arial" w:hAnsi="Arial"/>
          <w:sz w:val="24"/>
          <w:szCs w:val="24"/>
        </w:rPr>
        <w:t xml:space="preserve">5.10. При реконструкции районов с преобладанием сложившейся капитальной жилой застройки следует предусматривать упорядочение планировочной структуры и сети улиц, совершенствование системы общественного обслуживания, озеленения и благоустройства территории, максимальное сохранение своеобразия архитектурного облика жилых и общественных зданий, их модернизацию и капитальный ремонт, реставрацию и приспособление под современное использование памятников истории и культуры.</w:t>
      </w:r>
    </w:p>
    <w:p>
      <w:pPr>
        <w:spacing w:after="120"/>
        <w:ind w:firstLine="397"/>
        <w:jc w:val="both"/>
      </w:pPr>
      <w:r>
        <w:rPr>
          <w:rFonts w:ascii="Arial" w:cs="Arial" w:eastAsia="Arial" w:hAnsi="Arial"/>
          <w:sz w:val="24"/>
          <w:szCs w:val="24"/>
        </w:rPr>
        <w:t xml:space="preserve">Объемы сохраняемого или подлежащего сносу жилищного фонда следует определять в установленном порядке с учетом его экономической и исторической ценности, технического состояния, максимального сохранения жилищного фонда, пригодного для проживания, и сложившейся исторической жилой среды.</w:t>
      </w:r>
    </w:p>
    <w:p>
      <w:pPr>
        <w:spacing w:after="120"/>
        <w:ind w:firstLine="397"/>
        <w:jc w:val="both"/>
      </w:pPr>
      <w:r>
        <w:rPr>
          <w:rFonts w:ascii="Arial" w:cs="Arial" w:eastAsia="Arial" w:hAnsi="Arial"/>
          <w:sz w:val="24"/>
          <w:szCs w:val="24"/>
        </w:rPr>
        <w:t xml:space="preserve">При комплексной реконструкции сложившейся застройки допускается при соответствующем обосновании уточнять нормативные требования заданием на проектирование по согласованию с местными органами архитектуры, государственного санитарного надзора. При этом необходимо обеспечивать снижение-пожарной опасности застройки и улучшение санитарно-гигиенических условий проживания населения. </w:t>
      </w:r>
    </w:p>
    <w:p>
      <w:pPr>
        <w:spacing w:after="120"/>
        <w:ind w:firstLine="397"/>
        <w:jc w:val="both"/>
      </w:pPr>
      <w:r>
        <w:rPr>
          <w:rFonts w:ascii="Arial" w:cs="Arial" w:eastAsia="Arial" w:hAnsi="Arial"/>
          <w:sz w:val="24"/>
          <w:szCs w:val="24"/>
        </w:rPr>
        <w:t xml:space="preserve">5.11. Въезды на территорию микрорайонов и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Примыкания проездов к проезжим частям магистральных улиц регулируемого движения допускаются на расстоянии не менее 50 м от стоп - линии ближайшего перекрестка и не ближе 15 м от остановки общественного транспорта.</w:t>
      </w:r>
    </w:p>
    <w:p>
      <w:pPr>
        <w:spacing w:after="120"/>
        <w:ind w:firstLine="397"/>
        <w:jc w:val="both"/>
      </w:pPr>
      <w:r>
        <w:rPr>
          <w:rFonts w:ascii="Arial" w:cs="Arial" w:eastAsia="Arial" w:hAnsi="Arial"/>
          <w:sz w:val="24"/>
          <w:szCs w:val="24"/>
        </w:rPr>
        <w:t xml:space="preserve">Для подъезда к группам жилых зданий, крупным учреждениям и предприятиям обслуживания, торговым центрам следует предусматривать основные проезды, а к отдельным стоящим зданиям - второстепенные проезды, размеры которых следует принимать в соответствии с таблицей 7 настоящего свода правил.</w:t>
      </w:r>
    </w:p>
    <w:p>
      <w:pPr>
        <w:spacing w:after="120"/>
        <w:ind w:firstLine="397"/>
        <w:jc w:val="both"/>
      </w:pPr>
      <w:r>
        <w:rPr>
          <w:rFonts w:ascii="Arial" w:cs="Arial" w:eastAsia="Arial" w:hAnsi="Arial"/>
          <w:sz w:val="24"/>
          <w:szCs w:val="24"/>
        </w:rPr>
        <w:t xml:space="preserve">Микрорайоны и кварталы с застройкой 5 этажей и выше, обслуживаются двухполосными проездами.</w:t>
      </w:r>
    </w:p>
    <w:p>
      <w:pPr>
        <w:spacing w:after="120"/>
        <w:ind w:firstLine="397"/>
        <w:jc w:val="both"/>
      </w:pPr>
      <w:r>
        <w:rPr>
          <w:rFonts w:ascii="Arial" w:cs="Arial" w:eastAsia="Arial" w:hAnsi="Arial"/>
          <w:sz w:val="24"/>
          <w:szCs w:val="24"/>
        </w:rPr>
        <w:t xml:space="preserve">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pPr>
        <w:spacing w:after="120"/>
        <w:ind w:firstLine="397"/>
        <w:jc w:val="both"/>
      </w:pPr>
      <w:r>
        <w:rPr>
          <w:rFonts w:ascii="Arial" w:cs="Arial" w:eastAsia="Arial" w:hAnsi="Arial"/>
          <w:sz w:val="24"/>
          <w:szCs w:val="24"/>
        </w:rPr>
        <w:t xml:space="preserve">Тротуары и велосипедные дорожки следует устраивать приподнятыми на 15 см над уровнем проездов. Пересечение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рампы длиной соответственно 1,5 и 3 м.</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5.11.1. К отдельно стоящим жилым зданиям высотой не более 9 этажей, а также к объектам, посещаемым лицами, с ограниченными возможностями здоровья, допускается устройство проездов, совмещенных с тротуарами при протяженности их не более 150 м и общей ширине не более 4,2 м, а в малоэтажной (1-3 этажа) застройке при ширине не менее 3,5.</w:t>
      </w:r>
    </w:p>
    <w:p>
      <w:pPr>
        <w:spacing w:after="120"/>
        <w:ind w:firstLine="397"/>
        <w:jc w:val="both"/>
      </w:pPr>
      <w:r>
        <w:rPr>
          <w:rFonts w:ascii="Arial" w:cs="Arial" w:eastAsia="Arial" w:hAnsi="Arial"/>
          <w:sz w:val="24"/>
          <w:szCs w:val="24"/>
        </w:rPr>
        <w:t xml:space="preserve">Ширина проездов для пожарной техники определяется соответствующими нормативными и нормативно-техническими актами в области пожарной безопасности.</w:t>
      </w:r>
    </w:p>
    <w:p>
      <w:pPr>
        <w:spacing w:after="120"/>
        <w:ind w:firstLine="397"/>
        <w:jc w:val="both"/>
      </w:pPr>
      <w:r>
        <w:rPr>
          <w:rFonts w:ascii="Arial" w:cs="Arial" w:eastAsia="Arial" w:hAnsi="Arial"/>
          <w:sz w:val="24"/>
          <w:szCs w:val="24"/>
        </w:rPr>
        <w:t xml:space="preserve">5.12. Размеры приусадебных (приквартирных) земельных участков, выделяемых в городах на индивидуальный дом или на одну квартиру, следует принимать в порядке, установленном органом местного самоуправления.</w:t>
      </w:r>
    </w:p>
    <w:p>
      <w:pPr>
        <w:spacing w:after="120"/>
        <w:ind w:firstLine="397"/>
        <w:jc w:val="both"/>
      </w:pPr>
      <w:r>
        <w:rPr>
          <w:rFonts w:ascii="Arial" w:cs="Arial" w:eastAsia="Arial" w:hAnsi="Arial"/>
          <w:sz w:val="24"/>
          <w:szCs w:val="24"/>
        </w:rPr>
        <w:t xml:space="preserve">При определении размеров приусадебных и приквартирных земельных участков необходимо учитывать особенности градостроительных ситуации в городах разной величины: типы жилых домов, характер формирующейся жилой застройки (среды), условия ее размещения в структуре города, руководствуясь рекомендуемым приложением 3.</w:t>
      </w:r>
    </w:p>
    <w:p>
      <w:pPr>
        <w:spacing w:after="120"/>
        <w:ind w:firstLine="397"/>
        <w:jc w:val="both"/>
      </w:pPr>
      <w:r>
        <w:rPr>
          <w:rFonts w:ascii="Arial" w:cs="Arial" w:eastAsia="Arial" w:hAnsi="Arial"/>
          <w:sz w:val="24"/>
          <w:szCs w:val="24"/>
        </w:rPr>
        <w:t xml:space="preserve">5.13. Площадь озелененной территории микрорайона (квартала) следует принимать не менее 6м2 чел (без учета участков школ и детских дошкольных учреждений).</w:t>
      </w:r>
    </w:p>
    <w:p>
      <w:pPr>
        <w:spacing w:after="120"/>
        <w:ind w:firstLine="397"/>
        <w:jc w:val="both"/>
      </w:pPr>
      <w:r>
        <w:rPr>
          <w:rFonts w:ascii="Arial" w:cs="Arial" w:eastAsia="Arial" w:hAnsi="Arial"/>
          <w:sz w:val="24"/>
          <w:szCs w:val="24"/>
        </w:rPr>
        <w:t xml:space="preserve">5.14. Противопожарные разрывы между жилыми зданиями, жилыми и общественными, а также производственными зданиями следует принимать на основе расчетов инсоляции и освещенности в соответствии с нормами инсоляции, приведенными в разделе 12 настоящего свода правил, а также в соответствии с противопожарными требованиями, приведенными в обязательном </w:t>
      </w:r>
      <w:hyperlink w:history="1" r:id="rIdpwetngujvf1ayquq5ohh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Между длинными сторонами жилых зданий высотой 2-3 этажа следует принимать расстояния (бытовые разрывы) не менее 15 м, а высотой 4 этажа - не менее 20 м, между длинными сторонами и торцами этих же зданий с окнами из жилых комнат - не менее 10 м. Указанные расстояния сокращаются при соблюдении норм инсоляции и освещенности, если обеспечивается непросматриваемость жилых помещений (комнат и кухонь).</w:t>
      </w:r>
    </w:p>
    <w:p>
      <w:pPr>
        <w:spacing w:after="120"/>
        <w:ind w:firstLine="397"/>
        <w:jc w:val="both"/>
      </w:pPr>
      <w:r>
        <w:rPr>
          <w:rFonts w:ascii="Arial" w:cs="Arial" w:eastAsia="Arial" w:hAnsi="Arial"/>
          <w:sz w:val="24"/>
          <w:szCs w:val="24"/>
        </w:rPr>
        <w:t xml:space="preserve">5.15. При проектировании жилой застройки следует предусматривать размещение площадок, размеры которых и расстояния от них до жилых и общественных зданий принимать не менее приведенных в таблице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0"/>
        <w:gridCol w:w="3618"/>
      </w:tblGrid>
      <w:tr>
        <w:tc>
          <w:tcPr>
            <w:tcW w:type="dxa" w:w="65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Площадки</w:t>
            </w:r>
          </w:p>
        </w:tc>
        <w:tc>
          <w:tcPr>
            <w:tcW w:type="dxa" w:w="36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Удельные размеры площадок, м2/ чел.</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игр детей дошкольного и младшего школьного возраста</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отдыха взрослого населения</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занятий физкультурой</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хозяйственных целей и выгула собак</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стоянки автомашин</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5.15.1. Площадки для занятий физкультурой размещаются в зависимости от их шумовых характеристик, на удаленном расстоянии от площадок для мусоросборников с металлическими крышками должны находиться на хозяйственной площадке с бетонированном или асфальтированном основании на расстоянии 25 м от жилых зданий, а расстояние от площадок для хозяйственных целей до наиболее удаленного входа в жилое здание – не более 100 м.</w:t>
      </w:r>
    </w:p>
    <w:p>
      <w:pPr>
        <w:spacing w:after="120"/>
        <w:ind w:firstLine="397"/>
        <w:jc w:val="both"/>
      </w:pPr>
      <w:r>
        <w:rPr>
          <w:rFonts w:ascii="Arial" w:cs="Arial" w:eastAsia="Arial" w:hAnsi="Arial"/>
          <w:sz w:val="24"/>
          <w:szCs w:val="24"/>
        </w:rPr>
        <w:t xml:space="preserve">5.15.2. Допускается уменьшать, но не более чем на 50% удельные размеры площадок: для игр детей; отдыха взрослого населения и занятия физкультурой в климатических подрайонах IA, IB, IГ; для занятия физкультурой при формировании единого физкультурно-оздоровительного комплекса микрорайона для школьников и населения.</w:t>
      </w:r>
    </w:p>
    <w:p>
      <w:pPr>
        <w:spacing w:after="120"/>
        <w:ind w:firstLine="397"/>
        <w:jc w:val="both"/>
      </w:pPr>
      <w:r>
        <w:rPr>
          <w:rFonts w:ascii="Arial" w:cs="Arial" w:eastAsia="Arial" w:hAnsi="Arial"/>
          <w:sz w:val="24"/>
          <w:szCs w:val="24"/>
        </w:rPr>
        <w:t xml:space="preserve">5.16. Жилые здания с квартирами в первых этажах следует располагать, с отступом от красных линий, магистральных улиц не менее 6 м, а жилых улиц - не менее 3 м. В районах усадебной застройки жилые дома могут размещаться по красной линии жилых улиц в соответствии со сложившимися местными традициями.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pPr>
        <w:spacing w:after="120"/>
        <w:ind w:firstLine="397"/>
        <w:jc w:val="both"/>
      </w:pPr>
      <w:r>
        <w:rPr>
          <w:rFonts w:ascii="Arial" w:cs="Arial" w:eastAsia="Arial" w:hAnsi="Arial"/>
          <w:sz w:val="24"/>
          <w:szCs w:val="24"/>
        </w:rPr>
        <w:t xml:space="preserve">5.17. Расстояния от окон жилых и общественных зданий следует принимать: до физкультурных площадок - не менее 25 м, до хозяйственных площадок - не менее 20 м. Размеры хозяйственных площадок следует принимать, м2 на 1000 жителей: 30-для мусоросборников, 100-для чистки мебели, одежды, ковров, 150-для сушки белья.</w:t>
      </w:r>
    </w:p>
    <w:p>
      <w:pPr>
        <w:spacing w:after="120"/>
        <w:ind w:firstLine="397"/>
        <w:jc w:val="both"/>
      </w:pPr>
      <w:r>
        <w:rPr>
          <w:rFonts w:ascii="Arial" w:cs="Arial" w:eastAsia="Arial" w:hAnsi="Arial"/>
          <w:sz w:val="24"/>
          <w:szCs w:val="24"/>
        </w:rPr>
        <w:t xml:space="preserve">5.18. При проектировании жилой застройки в городах расчетную плотность населения на территории жилого района и микрорайона, чел/га, следует принимать с учетом рекомендуемого приложения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Производственная территория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Промышленная зона (район)</w:t>
      </w:r>
    </w:p>
    <w:p>
      <w:pPr>
        <w:spacing w:after="120"/>
        <w:ind w:firstLine="397"/>
        <w:jc w:val="both"/>
      </w:pPr>
      <w:r>
        <w:rPr>
          <w:rFonts w:ascii="Arial" w:cs="Arial" w:eastAsia="Arial" w:hAnsi="Arial"/>
          <w:sz w:val="24"/>
          <w:szCs w:val="24"/>
        </w:rPr>
        <w:t xml:space="preserve">6.1. Промышленные предприятия, следует размещать на территории промышленных зон (районов) в составе групп предприятий (промышленных узлов) с общими вспомогательными производствами или объектами инфраструктуры, а в сельских населенных пунктах в составе производственных зон.</w:t>
      </w:r>
    </w:p>
    <w:p>
      <w:pPr>
        <w:spacing w:after="120"/>
        <w:ind w:firstLine="397"/>
        <w:jc w:val="both"/>
      </w:pPr>
      <w:r>
        <w:rPr>
          <w:rFonts w:ascii="Arial" w:cs="Arial" w:eastAsia="Arial" w:hAnsi="Arial"/>
          <w:sz w:val="24"/>
          <w:szCs w:val="24"/>
        </w:rPr>
        <w:t xml:space="preserve">6.2. При размещении промышленных зон (районов) необходимо обеспечивать их рациональную взаимосвязь с жилыми районами при минимальных затратах времени на трудовые передвижения.</w:t>
      </w:r>
    </w:p>
    <w:p>
      <w:pPr>
        <w:spacing w:after="120"/>
        <w:ind w:firstLine="397"/>
        <w:jc w:val="both"/>
      </w:pPr>
      <w:r>
        <w:rPr>
          <w:rFonts w:ascii="Arial" w:cs="Arial" w:eastAsia="Arial" w:hAnsi="Arial"/>
          <w:sz w:val="24"/>
          <w:szCs w:val="24"/>
        </w:rPr>
        <w:t xml:space="preserve">Размеры и степень интенсивности использования территории промышленных зон (районов) следует принимать в зависимости от условий их размещения в структуре города и градостроительной ценности различных участков его территории.</w:t>
      </w:r>
    </w:p>
    <w:p>
      <w:pPr>
        <w:spacing w:after="120"/>
        <w:ind w:firstLine="397"/>
        <w:jc w:val="both"/>
      </w:pPr>
      <w:r>
        <w:rPr>
          <w:rFonts w:ascii="Arial" w:cs="Arial" w:eastAsia="Arial" w:hAnsi="Arial"/>
          <w:sz w:val="24"/>
          <w:szCs w:val="24"/>
        </w:rPr>
        <w:t xml:space="preserve">6.3. Функционально-планировочную организацию промышленных зон следует, предусматривать в виде панелей и блоков основных и вспомогательных производств с учетом отраслевых характеристик предприятий, санитарно-гигиенических и противопожарных требований к их размещению, грузооборота и видов транспорта, а также очередности строительства.</w:t>
      </w:r>
    </w:p>
    <w:p>
      <w:pPr>
        <w:spacing w:after="120"/>
        <w:ind w:firstLine="397"/>
        <w:jc w:val="both"/>
      </w:pPr>
      <w:r>
        <w:rPr>
          <w:rFonts w:ascii="Arial" w:cs="Arial" w:eastAsia="Arial" w:hAnsi="Arial"/>
          <w:sz w:val="24"/>
          <w:szCs w:val="24"/>
        </w:rPr>
        <w:t xml:space="preserve">При этом необходимо формировать взаимосвязанную систему обслуживания работающих на предприятиях и населения прилегающих к промышленной зоне жилых районов.</w:t>
      </w:r>
    </w:p>
    <w:p>
      <w:pPr>
        <w:spacing w:after="120"/>
        <w:ind w:firstLine="397"/>
        <w:jc w:val="both"/>
      </w:pPr>
      <w:r>
        <w:rPr>
          <w:rFonts w:ascii="Arial" w:cs="Arial" w:eastAsia="Arial" w:hAnsi="Arial"/>
          <w:sz w:val="24"/>
          <w:szCs w:val="24"/>
        </w:rPr>
        <w:t xml:space="preserve">6.4. 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не менее 60% всей территории промышленной зоны (района).</w:t>
      </w:r>
    </w:p>
    <w:p>
      <w:pPr>
        <w:spacing w:after="120"/>
        <w:ind w:firstLine="397"/>
        <w:jc w:val="both"/>
      </w:pPr>
      <w:r>
        <w:rPr>
          <w:rFonts w:ascii="Arial" w:cs="Arial" w:eastAsia="Arial" w:hAnsi="Arial"/>
          <w:sz w:val="24"/>
          <w:szCs w:val="24"/>
        </w:rPr>
        <w:t xml:space="preserve">6.5. В пределах селитебной территории допускается размещать промышленные предприятия, не выделяющие вредные вещества, с не 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расстояние от границ участка промышленного предприятия до жилых зданий, участков детских дошкольных учреждений, общеобразовательных школ, учреждений здравоохранения и отдыха следует принимать не менее 50 м.</w:t>
      </w:r>
    </w:p>
    <w:p>
      <w:pPr>
        <w:spacing w:after="120"/>
        <w:ind w:firstLine="397"/>
        <w:jc w:val="both"/>
      </w:pPr>
      <w:r>
        <w:rPr>
          <w:rFonts w:ascii="Arial" w:cs="Arial" w:eastAsia="Arial" w:hAnsi="Arial"/>
          <w:sz w:val="24"/>
          <w:szCs w:val="24"/>
        </w:rPr>
        <w:t xml:space="preserve">В случае невозможности устранения вредного влияния предприятия, расположенного в пределах жилой застройки, на окружающую среду следует предусматривать уменьшение мощности, перепрофилирование предприятия или отдельного производства или его перебазирования за пределы жилой застройки.</w:t>
      </w:r>
    </w:p>
    <w:p>
      <w:pPr>
        <w:spacing w:after="120"/>
        <w:ind w:firstLine="397"/>
        <w:jc w:val="both"/>
      </w:pPr>
      <w:r>
        <w:rPr>
          <w:rFonts w:ascii="Arial" w:cs="Arial" w:eastAsia="Arial" w:hAnsi="Arial"/>
          <w:sz w:val="24"/>
          <w:szCs w:val="24"/>
        </w:rPr>
        <w:t xml:space="preserve">6.6. Санитарно-защитные зоны следует предусматривать, если после проведения всех технических и технологических мер по очистке и обезвреживанию вредных выбросов и снижению уровня шума не обеспечиваются предельно допустимые на селитебной территории уровни концентрации вредных веществ и предельно допустимые уровни шума.</w:t>
      </w:r>
    </w:p>
    <w:p>
      <w:pPr>
        <w:spacing w:after="120"/>
        <w:ind w:firstLine="397"/>
        <w:jc w:val="both"/>
      </w:pPr>
      <w:r>
        <w:rPr>
          <w:rFonts w:ascii="Arial" w:cs="Arial" w:eastAsia="Arial" w:hAnsi="Arial"/>
          <w:sz w:val="24"/>
          <w:szCs w:val="24"/>
        </w:rPr>
        <w:t xml:space="preserve">Размеры таких зон следует устанавливать в соответствии с действующими санитарными нормами размещения промышленных предприятий и Методикой расчета концентрации в атмосферном воздухе вредных веществ, содержащихся в выбросах предприятий, а также с учетом требований защиты от шума и других требований, приведенных в разделе 12 настоящего свода правил.</w:t>
      </w:r>
    </w:p>
    <w:p>
      <w:pPr>
        <w:spacing w:after="120"/>
        <w:ind w:firstLine="397"/>
        <w:jc w:val="both"/>
      </w:pPr>
      <w:r>
        <w:rPr>
          <w:rFonts w:ascii="Arial" w:cs="Arial" w:eastAsia="Arial" w:hAnsi="Arial"/>
          <w:sz w:val="24"/>
          <w:szCs w:val="24"/>
        </w:rPr>
        <w:t xml:space="preserve">6.7. В санитарно-защитной зоне не допускается размещать жилые здания, детские образовательные организации, общеобразовательные школы, учреждения здравоохранения и отдыха, спортивные сооружения.</w:t>
      </w:r>
    </w:p>
    <w:p>
      <w:pPr>
        <w:spacing w:after="120"/>
        <w:ind w:firstLine="397"/>
        <w:jc w:val="both"/>
      </w:pPr>
      <w:r>
        <w:rPr>
          <w:rFonts w:ascii="Arial" w:cs="Arial" w:eastAsia="Arial" w:hAnsi="Arial"/>
          <w:sz w:val="24"/>
          <w:szCs w:val="24"/>
        </w:rPr>
        <w:t xml:space="preserve">Минимальную площадь озеленения санитарно-защитных зон следует принимать в зависимости от ширины зоны, % :</w:t>
      </w:r>
    </w:p>
    <w:p>
      <w:pPr>
        <w:spacing w:after="120"/>
        <w:ind w:firstLine="397"/>
        <w:jc w:val="both"/>
      </w:pPr>
      <w:r>
        <w:rPr>
          <w:rFonts w:ascii="Arial" w:cs="Arial" w:eastAsia="Arial" w:hAnsi="Arial"/>
          <w:sz w:val="24"/>
          <w:szCs w:val="24"/>
        </w:rPr>
        <w:t xml:space="preserve">до 300 м 60</w:t>
      </w:r>
    </w:p>
    <w:p>
      <w:pPr>
        <w:spacing w:after="120"/>
        <w:ind w:firstLine="397"/>
        <w:jc w:val="both"/>
      </w:pPr>
      <w:r>
        <w:rPr>
          <w:rFonts w:ascii="Arial" w:cs="Arial" w:eastAsia="Arial" w:hAnsi="Arial"/>
          <w:sz w:val="24"/>
          <w:szCs w:val="24"/>
        </w:rPr>
        <w:t xml:space="preserve">св. 300 до 1000м         50</w:t>
      </w:r>
    </w:p>
    <w:p>
      <w:pPr>
        <w:spacing w:after="120"/>
        <w:ind w:firstLine="397"/>
        <w:jc w:val="both"/>
      </w:pPr>
      <w:r>
        <w:rPr>
          <w:rFonts w:ascii="Arial" w:cs="Arial" w:eastAsia="Arial" w:hAnsi="Arial"/>
          <w:sz w:val="24"/>
          <w:szCs w:val="24"/>
        </w:rPr>
        <w:t xml:space="preserve">св. 1000 до 3000 м      40</w:t>
      </w:r>
    </w:p>
    <w:p>
      <w:pPr>
        <w:spacing w:after="120"/>
        <w:ind w:firstLine="397"/>
        <w:jc w:val="both"/>
      </w:pPr>
      <w:r>
        <w:rPr>
          <w:rFonts w:ascii="Arial" w:cs="Arial" w:eastAsia="Arial" w:hAnsi="Arial"/>
          <w:sz w:val="24"/>
          <w:szCs w:val="24"/>
        </w:rPr>
        <w:t xml:space="preserve">Со стороны селитебной территории необходимо предусматривать полосу древесно-кустарниковых насаждений шириной не менее 50 м, а при ширине зоны до 100 м - не менее 20 м.</w:t>
      </w:r>
    </w:p>
    <w:p>
      <w:pPr>
        <w:spacing w:after="120"/>
        <w:ind w:firstLine="397"/>
        <w:jc w:val="both"/>
      </w:pPr>
      <w:r>
        <w:rPr>
          <w:rFonts w:ascii="Arial" w:cs="Arial" w:eastAsia="Arial" w:hAnsi="Arial"/>
          <w:sz w:val="24"/>
          <w:szCs w:val="24"/>
        </w:rPr>
        <w:t xml:space="preserve">6.9. Устройство отвалов, шламонакопителей, хвостохранилищ, отходов и отбросов предприятий допускается только при обосновании невозможности их утилизации; при этом для промышленных районов и узлов, следует предусматривать централизованные (групповые) отвалы. Участки для них следует размещать за пределами предприятий и III пояса зоны санитарной охраны подземных водоисточников и прохождений подземных вод, с соблюдением санитарных норм или правил безопасности.</w:t>
      </w:r>
    </w:p>
    <w:p>
      <w:pPr>
        <w:spacing w:after="120"/>
        <w:ind w:firstLine="397"/>
        <w:jc w:val="both"/>
      </w:pPr>
      <w:r>
        <w:rPr>
          <w:rFonts w:ascii="Arial" w:cs="Arial" w:eastAsia="Arial" w:hAnsi="Arial"/>
          <w:sz w:val="24"/>
          <w:szCs w:val="24"/>
        </w:rPr>
        <w:t xml:space="preserve">Отвалы, содержащие уголь, сланец, мышьяк, свинец, ртуть и другие горючие и токсичные вещества должны быть размешены от жилых и общественных зданий и сооружений на расстоянии, определяемом расчетом и на основании СанПин «Проектирование, строительство, реконструкция и эксплуатация предприятий, планировка и застройка населенных мест», но не ближе расчетного опасного сдвига отвалов на основе разработанного и согласованного ТЭО.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Научная и научно-производственная зона (район)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6.10. На территории научной и научно-производственной зоны следует размещать учреждения науки и научного обслуживания, опытные производства и связанные с ними высшие и средние учебные заведения, учреждения и предприятия обслуживания, а также инженерные и транспортные коммуникации и сооружения.</w:t>
      </w:r>
    </w:p>
    <w:p>
      <w:pPr>
        <w:spacing w:after="120"/>
        <w:ind w:firstLine="397"/>
        <w:jc w:val="both"/>
      </w:pPr>
      <w:r>
        <w:rPr>
          <w:rFonts w:ascii="Arial" w:cs="Arial" w:eastAsia="Arial" w:hAnsi="Arial"/>
          <w:sz w:val="24"/>
          <w:szCs w:val="24"/>
        </w:rPr>
        <w:t xml:space="preserve">6.11. Численность рабочих научно-производственной зоны, расположенной в пределах селитебной территории, не должна превышать 15 тыс. чел.</w:t>
      </w:r>
    </w:p>
    <w:p>
      <w:pPr>
        <w:spacing w:after="120"/>
        <w:ind w:firstLine="397"/>
        <w:jc w:val="both"/>
      </w:pPr>
      <w:r>
        <w:rPr>
          <w:rFonts w:ascii="Arial" w:cs="Arial" w:eastAsia="Arial" w:hAnsi="Arial"/>
          <w:sz w:val="24"/>
          <w:szCs w:val="24"/>
        </w:rPr>
        <w:t xml:space="preserve">6.12. Размеры земельных участков научных учреждений следует принимать (на 1000 м2 общей площади), га, не более:</w:t>
      </w:r>
    </w:p>
    <w:p>
      <w:pPr>
        <w:spacing w:after="120"/>
        <w:ind w:firstLine="397"/>
        <w:jc w:val="both"/>
      </w:pPr>
      <w:r>
        <w:rPr>
          <w:rFonts w:ascii="Arial" w:cs="Arial" w:eastAsia="Arial" w:hAnsi="Arial"/>
          <w:sz w:val="24"/>
          <w:szCs w:val="24"/>
        </w:rPr>
        <w:t xml:space="preserve">естественных и технических наук ………. 0,14 – 0,2</w:t>
      </w:r>
    </w:p>
    <w:p>
      <w:pPr>
        <w:spacing w:after="120"/>
        <w:ind w:firstLine="397"/>
        <w:jc w:val="both"/>
      </w:pPr>
      <w:r>
        <w:rPr>
          <w:rFonts w:ascii="Arial" w:cs="Arial" w:eastAsia="Arial" w:hAnsi="Arial"/>
          <w:sz w:val="24"/>
          <w:szCs w:val="24"/>
        </w:rPr>
        <w:t xml:space="preserve">общественных наук    ………. 0,1 – 0,12</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6.12.1. В приведенную норму не входят опытные поля, полигоны, резервные территории, санитарно-защитные зоны.</w:t>
      </w:r>
    </w:p>
    <w:p>
      <w:pPr>
        <w:spacing w:after="120"/>
        <w:ind w:firstLine="397"/>
        <w:jc w:val="both"/>
      </w:pPr>
      <w:r>
        <w:rPr>
          <w:rFonts w:ascii="Arial" w:cs="Arial" w:eastAsia="Arial" w:hAnsi="Arial"/>
          <w:sz w:val="24"/>
          <w:szCs w:val="24"/>
        </w:rPr>
        <w:t xml:space="preserve">6.12.2. Меньшие значения показателей следует принимать для крупнейших и крупных городов и для условий реконструкции.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Коммунально-складская зона (район)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6.13. На территориях коммунально-складских зон (районов) следует размещать предприятия пищевой (пищевкусовой, мясной и молочной) промышленности, общетоварные (продовольственные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 города.</w:t>
      </w:r>
    </w:p>
    <w:p>
      <w:pPr>
        <w:spacing w:after="120"/>
        <w:ind w:firstLine="397"/>
        <w:jc w:val="both"/>
      </w:pPr>
      <w:r>
        <w:rPr>
          <w:rFonts w:ascii="Arial" w:cs="Arial" w:eastAsia="Arial" w:hAnsi="Arial"/>
          <w:sz w:val="24"/>
          <w:szCs w:val="24"/>
        </w:rPr>
        <w:t xml:space="preserve">Систему складских комплексов, не связанных с непосредственным повседневным обслуживанием населения, следует формировать за пределами крупных и крупнейших городов, приближая их к узлам внешнего, преимущественного железнодорожного транспорта.</w:t>
      </w:r>
    </w:p>
    <w:p>
      <w:pPr>
        <w:spacing w:after="120"/>
        <w:ind w:firstLine="397"/>
        <w:jc w:val="both"/>
      </w:pPr>
      <w:r>
        <w:rPr>
          <w:rFonts w:ascii="Arial" w:cs="Arial" w:eastAsia="Arial" w:hAnsi="Arial"/>
          <w:sz w:val="24"/>
          <w:szCs w:val="24"/>
        </w:rPr>
        <w:t xml:space="preserve">За пределами территории городов и их зеленых зон, в обособленных складских районах пригородной зоны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первой группы, перевалочных баз нефти и нефтепродуктов, складов сжиженных газов, складов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w:t>
      </w:r>
    </w:p>
    <w:p>
      <w:pPr>
        <w:spacing w:after="120"/>
        <w:ind w:firstLine="397"/>
        <w:jc w:val="both"/>
      </w:pPr>
      <w:r>
        <w:rPr>
          <w:rFonts w:ascii="Arial" w:cs="Arial" w:eastAsia="Arial" w:hAnsi="Arial"/>
          <w:sz w:val="24"/>
          <w:szCs w:val="24"/>
        </w:rPr>
        <w:t xml:space="preserve">Для малых городов и населенных пунктов следует предусматривать централизованные склады, обслуживающие группу населенных пунктов, располагая такие склады преимущественно в районных центрах или железнодорожных пристанционных населенных пунктах.</w:t>
      </w:r>
    </w:p>
    <w:p>
      <w:pPr>
        <w:spacing w:after="120"/>
        <w:ind w:firstLine="397"/>
        <w:jc w:val="both"/>
      </w:pPr>
      <w:r>
        <w:rPr>
          <w:rFonts w:ascii="Arial" w:cs="Arial" w:eastAsia="Arial" w:hAnsi="Arial"/>
          <w:sz w:val="24"/>
          <w:szCs w:val="24"/>
        </w:rPr>
        <w:t xml:space="preserve">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w:t>
      </w:r>
    </w:p>
    <w:p>
      <w:pPr>
        <w:spacing w:after="120"/>
        <w:ind w:firstLine="397"/>
        <w:jc w:val="both"/>
      </w:pPr>
      <w:r>
        <w:rPr>
          <w:rFonts w:ascii="Arial" w:cs="Arial" w:eastAsia="Arial" w:hAnsi="Arial"/>
          <w:sz w:val="24"/>
          <w:szCs w:val="24"/>
        </w:rPr>
        <w:t xml:space="preserve">6.14. Размеры земельных участков складов, предназначенных для обслуживания населенных пунктов, допускается принимать из расчета 2 м2 на одного чел. в крупнейших и крупных городах с учетом строительства многоэтажных складов и 2,5 м2 – в остальных населенных пунктах.</w:t>
      </w:r>
    </w:p>
    <w:p>
      <w:pPr>
        <w:spacing w:after="120"/>
        <w:ind w:firstLine="397"/>
        <w:jc w:val="both"/>
      </w:pPr>
      <w:r>
        <w:rPr>
          <w:rFonts w:ascii="Arial" w:cs="Arial" w:eastAsia="Arial" w:hAnsi="Arial"/>
          <w:sz w:val="24"/>
          <w:szCs w:val="24"/>
        </w:rPr>
        <w:t xml:space="preserve">В городах-курортах размеры коммунально-складских зон для обслуживания лечащихся и отдыхающих следует принимать из расчета этих зонах оранжерейно-тепличного хозяйства – 8 м2.</w:t>
      </w:r>
    </w:p>
    <w:p>
      <w:pPr>
        <w:spacing w:after="120"/>
        <w:ind w:firstLine="397"/>
        <w:jc w:val="both"/>
      </w:pPr>
      <w:r>
        <w:rPr>
          <w:rFonts w:ascii="Arial" w:cs="Arial" w:eastAsia="Arial" w:hAnsi="Arial"/>
          <w:sz w:val="24"/>
          <w:szCs w:val="24"/>
        </w:rPr>
        <w:t xml:space="preserve">В городах общая площадь коллективных хранилищ сельскохозяйственных продуктов определяется из расчета 4-5 м2 на одну семью. Число семей, пользующихся хранилищами, устанавливается заданием на проектирование.</w:t>
      </w:r>
    </w:p>
    <w:p>
      <w:pPr>
        <w:spacing w:after="120"/>
        <w:ind w:firstLine="397"/>
        <w:jc w:val="both"/>
      </w:pPr>
      <w:r>
        <w:rPr>
          <w:rFonts w:ascii="Arial" w:cs="Arial" w:eastAsia="Arial" w:hAnsi="Arial"/>
          <w:sz w:val="24"/>
          <w:szCs w:val="24"/>
        </w:rPr>
        <w:t xml:space="preserve">Размеры земельных участков, площади, вместимость складов общетоварных и специализированных, для хранения овощей, картофеля и фруктов, топлива и строительных материалов допускается принимать в соответствии с рекомендуемым приложением 6.</w:t>
      </w:r>
    </w:p>
    <w:p>
      <w:pPr>
        <w:spacing w:after="120"/>
        <w:ind w:firstLine="397"/>
        <w:jc w:val="both"/>
      </w:pPr>
      <w:r>
        <w:rPr>
          <w:rFonts w:ascii="Arial" w:cs="Arial" w:eastAsia="Arial" w:hAnsi="Arial"/>
          <w:sz w:val="24"/>
          <w:szCs w:val="24"/>
        </w:rPr>
        <w:t xml:space="preserve">При этом, размеры санитарно-защитных зон для картофеле-, овоще- и фруктохранилищ следует принимать 50 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Ландшафтно-рекреационная территория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В городах и населенных пунктах необходимо предусматривать, непрерывную систему озелененных территорий и других открытых пространств. Удельный вес озелененных территорий различного назначения в пределах застройки городов (уровень озелененности территории застройки) должен быть не менее 40%.</w:t>
      </w:r>
    </w:p>
    <w:p>
      <w:pPr>
        <w:spacing w:after="120"/>
        <w:ind w:firstLine="397"/>
        <w:jc w:val="both"/>
      </w:pPr>
      <w:r>
        <w:rPr>
          <w:rFonts w:ascii="Arial" w:cs="Arial" w:eastAsia="Arial" w:hAnsi="Arial"/>
          <w:sz w:val="24"/>
          <w:szCs w:val="24"/>
        </w:rPr>
        <w:t xml:space="preserve">7.2. Площадь озелененных территорий общего пользования - парков, садов, скверов, бульваров, размещаемых на селитебной территории городов и населенных пунктов, следует принимать по таблице 2.</w:t>
      </w:r>
    </w:p>
    <w:p>
      <w:pPr>
        <w:spacing w:after="120"/>
        <w:ind w:firstLine="397"/>
        <w:jc w:val="both"/>
      </w:pPr>
      <w:r>
        <w:rPr>
          <w:rFonts w:ascii="Arial" w:cs="Arial" w:eastAsia="Arial" w:hAnsi="Arial"/>
          <w:sz w:val="24"/>
          <w:szCs w:val="24"/>
        </w:rPr>
        <w:t xml:space="preserve">В крупнейших, крупных и больших городах существующие массивы городских лесов следует преобразовывать в городские лесопарки и относить их дополнительно к указанным в таблице 2 озелененным территориям общего пользования исходя из расчета не более 5 м2/чел.</w:t>
      </w:r>
    </w:p>
    <w:p>
      <w:pPr>
        <w:spacing w:after="120"/>
        <w:ind w:firstLine="39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7"/>
        <w:gridCol w:w="2490"/>
        <w:gridCol w:w="2490"/>
        <w:gridCol w:w="2490"/>
      </w:tblGrid>
      <w:tr>
        <w:tc>
          <w:tcPr>
            <w:tcW w:type="dxa" w:w="270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Озелененные территории общего пользования</w:t>
            </w:r>
          </w:p>
        </w:tc>
        <w:tc>
          <w:tcPr>
            <w:tcW w:type="dxa" w:w="747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озелененных территорий м2/чел.</w:t>
            </w:r>
          </w:p>
        </w:tc>
      </w:tr>
      <w:tr>
        <w:tc>
          <w:tcPr>
            <w:vMerge w:val="continue"/>
            <w:tcBorders>
              <w:top w:val="single" w:color="CBBF9E" w:sz="4"/>
              <w:left w:val="single" w:color="CBBF9E" w:sz="4"/>
              <w:bottom w:val="single" w:color="CBBF9E" w:sz="4"/>
              <w:right w:val="single" w:color="CBBF9E" w:sz="4"/>
            </w:tcBorders>
          </w:tcP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крупнейших, крупных и больших городов</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средних городов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малых городов и населенных пунктов</w:t>
            </w:r>
          </w:p>
        </w:tc>
      </w:tr>
      <w:tr>
        <w:tc>
          <w:tcPr>
            <w:tcW w:type="dxa" w:w="2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Общегородские</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8(10)</w:t>
            </w:r>
          </w:p>
        </w:tc>
      </w:tr>
      <w:tr>
        <w:tc>
          <w:tcPr>
            <w:tcW w:type="dxa" w:w="2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Жилых районов</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скобках приведены размеры для малых городов с численностью населения до 20 тыс. чел.</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7.2.1. Для городов-курортов приведенные нормы общегородских озелененных территорий общего пользования следует увеличивать, но не более чем на 50%. </w:t>
      </w:r>
    </w:p>
    <w:p>
      <w:pPr>
        <w:spacing w:after="120"/>
        <w:ind w:firstLine="397"/>
        <w:jc w:val="both"/>
      </w:pPr>
      <w:r>
        <w:rPr>
          <w:rFonts w:ascii="Arial" w:cs="Arial" w:eastAsia="Arial" w:hAnsi="Arial"/>
          <w:sz w:val="24"/>
          <w:szCs w:val="24"/>
        </w:rPr>
        <w:t xml:space="preserve">7.3. В структуре озелененных территорий общего пользования крупные парки и лесопарки шириной 0,5 км и более должны составлять не менее 10% от общей площади населенного пункта.</w:t>
      </w:r>
    </w:p>
    <w:p>
      <w:pPr>
        <w:spacing w:after="120"/>
        <w:ind w:firstLine="397"/>
        <w:jc w:val="both"/>
      </w:pPr>
      <w:r>
        <w:rPr>
          <w:rFonts w:ascii="Arial" w:cs="Arial" w:eastAsia="Arial" w:hAnsi="Arial"/>
          <w:sz w:val="24"/>
          <w:szCs w:val="24"/>
        </w:rPr>
        <w:t xml:space="preserve">Время доступности городских парков должно быть не более 20 минут, а парков планировочных районов не более 15 минут.</w:t>
      </w:r>
    </w:p>
    <w:p>
      <w:pPr>
        <w:spacing w:after="120"/>
        <w:ind w:firstLine="397"/>
        <w:jc w:val="both"/>
      </w:pPr>
      <w:r>
        <w:rPr>
          <w:rFonts w:ascii="Arial" w:cs="Arial" w:eastAsia="Arial" w:hAnsi="Arial"/>
          <w:sz w:val="24"/>
          <w:szCs w:val="24"/>
        </w:rPr>
        <w:t xml:space="preserve">В сейсмических районах необходимо обеспечивать свободный доступ парков, садов и других озелененных территорий общего пользования, не допуская устройства оград со стороны жилых районов.</w:t>
      </w:r>
    </w:p>
    <w:p>
      <w:pPr>
        <w:spacing w:after="120"/>
        <w:ind w:firstLine="397"/>
        <w:jc w:val="both"/>
      </w:pPr>
      <w:r>
        <w:rPr>
          <w:rFonts w:ascii="Arial" w:cs="Arial" w:eastAsia="Arial" w:hAnsi="Arial"/>
          <w:sz w:val="24"/>
          <w:szCs w:val="24"/>
        </w:rPr>
        <w:t xml:space="preserve">7.4. Расчетное число единовременных посетителей территорий парков, лесопарков, лесов, зеленых зон следует принимать, чел/га, не более:</w:t>
      </w:r>
    </w:p>
    <w:p>
      <w:pPr>
        <w:spacing w:after="120"/>
        <w:ind w:firstLine="397"/>
        <w:jc w:val="both"/>
      </w:pPr>
      <w:r>
        <w:rPr>
          <w:rFonts w:ascii="Arial" w:cs="Arial" w:eastAsia="Arial" w:hAnsi="Arial"/>
          <w:sz w:val="24"/>
          <w:szCs w:val="24"/>
        </w:rPr>
        <w:t xml:space="preserve">для городских парков            100</w:t>
      </w:r>
    </w:p>
    <w:p>
      <w:pPr>
        <w:spacing w:after="120"/>
        <w:ind w:firstLine="397"/>
        <w:jc w:val="both"/>
      </w:pPr>
      <w:r>
        <w:rPr>
          <w:rFonts w:ascii="Arial" w:cs="Arial" w:eastAsia="Arial" w:hAnsi="Arial"/>
          <w:sz w:val="24"/>
          <w:szCs w:val="24"/>
        </w:rPr>
        <w:t xml:space="preserve">для парков зон отдыха          70</w:t>
      </w:r>
    </w:p>
    <w:p>
      <w:pPr>
        <w:spacing w:after="120"/>
        <w:ind w:firstLine="397"/>
        <w:jc w:val="both"/>
      </w:pPr>
      <w:r>
        <w:rPr>
          <w:rFonts w:ascii="Arial" w:cs="Arial" w:eastAsia="Arial" w:hAnsi="Arial"/>
          <w:sz w:val="24"/>
          <w:szCs w:val="24"/>
        </w:rPr>
        <w:t xml:space="preserve">для парков курортов  50</w:t>
      </w:r>
    </w:p>
    <w:p>
      <w:pPr>
        <w:spacing w:after="120"/>
        <w:ind w:firstLine="397"/>
        <w:jc w:val="both"/>
      </w:pPr>
      <w:r>
        <w:rPr>
          <w:rFonts w:ascii="Arial" w:cs="Arial" w:eastAsia="Arial" w:hAnsi="Arial"/>
          <w:sz w:val="24"/>
          <w:szCs w:val="24"/>
        </w:rPr>
        <w:t xml:space="preserve">для лесопарков (лугопарков, гидропарков) …… 10</w:t>
      </w:r>
    </w:p>
    <w:p>
      <w:pPr>
        <w:spacing w:after="120"/>
        <w:ind w:firstLine="397"/>
        <w:jc w:val="both"/>
      </w:pPr>
      <w:r>
        <w:rPr>
          <w:rFonts w:ascii="Arial" w:cs="Arial" w:eastAsia="Arial" w:hAnsi="Arial"/>
          <w:sz w:val="24"/>
          <w:szCs w:val="24"/>
        </w:rPr>
        <w:t xml:space="preserve">для лесов          1-3</w:t>
      </w:r>
    </w:p>
    <w:p>
      <w:pPr>
        <w:spacing w:after="120"/>
        <w:ind w:firstLine="397"/>
        <w:jc w:val="both"/>
      </w:pPr>
      <w:r>
        <w:rPr>
          <w:rFonts w:ascii="Arial" w:cs="Arial" w:eastAsia="Arial" w:hAnsi="Arial"/>
          <w:sz w:val="24"/>
          <w:szCs w:val="24"/>
        </w:rPr>
        <w:t xml:space="preserve">При этом, при числе единовременных посетителей 10 – 50 чел./га необходимо предусматривать дорожно-тропиночную сеть для организации их движения, а на опушках полян - почвозащитные посадки, при числе единовременных посетителей 50 чел./га и более - мероприятия по преобразованию лесного ландшафта в парковый.</w:t>
      </w:r>
    </w:p>
    <w:p>
      <w:pPr>
        <w:spacing w:after="120"/>
        <w:ind w:firstLine="397"/>
        <w:jc w:val="both"/>
      </w:pPr>
      <w:r>
        <w:rPr>
          <w:rFonts w:ascii="Arial" w:cs="Arial" w:eastAsia="Arial" w:hAnsi="Arial"/>
          <w:sz w:val="24"/>
          <w:szCs w:val="24"/>
        </w:rPr>
        <w:t xml:space="preserve">7.5. В крупнейших, крупных и больших городах наряду с парками городского и районного значения необходимо предусматривать специализированные – детские, спортивные, выставочные, зоологические и другие парки, ботанические сады, размеры которых следует принимать по заданию на проектирование.</w:t>
      </w:r>
    </w:p>
    <w:p>
      <w:pPr>
        <w:spacing w:after="120"/>
        <w:ind w:firstLine="397"/>
        <w:jc w:val="both"/>
      </w:pPr>
      <w:r>
        <w:rPr>
          <w:rFonts w:ascii="Arial" w:cs="Arial" w:eastAsia="Arial" w:hAnsi="Arial"/>
          <w:sz w:val="24"/>
          <w:szCs w:val="24"/>
        </w:rPr>
        <w:t xml:space="preserve">Ориентировочные размеры детских парков допускается принимать из расчета 0,5 м2/чел., спортивных парков 12 м2/чел., включая площадки и спортивные сооружения, нормы расчета которых приведены в рекомендуемом приложении 6.</w:t>
      </w:r>
    </w:p>
    <w:p>
      <w:pPr>
        <w:spacing w:after="120"/>
        <w:ind w:firstLine="397"/>
        <w:jc w:val="both"/>
      </w:pPr>
      <w:r>
        <w:rPr>
          <w:rFonts w:ascii="Arial" w:cs="Arial" w:eastAsia="Arial" w:hAnsi="Arial"/>
          <w:sz w:val="24"/>
          <w:szCs w:val="24"/>
        </w:rPr>
        <w:t xml:space="preserve">7.6. На территориях с высокой степенью сохранности естественных ландшафтов, имеющих эстетическую и познавательную ценность, следует формировать национальные и природные парки. Архитектурно-пространственная организация национальных и природных парков должна предусматривать использование их территории в научных, культурно-просветительных и рекреационных целях с выделением, заповедной, заповедно-рекреационной, рекреационной и хозяйственной зон.</w:t>
      </w:r>
    </w:p>
    <w:p>
      <w:pPr>
        <w:spacing w:after="120"/>
        <w:ind w:firstLine="397"/>
        <w:jc w:val="both"/>
      </w:pPr>
      <w:r>
        <w:rPr>
          <w:rFonts w:ascii="Arial" w:cs="Arial" w:eastAsia="Arial" w:hAnsi="Arial"/>
          <w:sz w:val="24"/>
          <w:szCs w:val="24"/>
        </w:rPr>
        <w:t xml:space="preserve">7.7. При размещении парков и садов следует максимально сохранять участки с существующими насаждениями и водоемами.</w:t>
      </w:r>
    </w:p>
    <w:p>
      <w:pPr>
        <w:spacing w:after="120"/>
        <w:ind w:firstLine="397"/>
        <w:jc w:val="both"/>
      </w:pPr>
      <w:r>
        <w:rPr>
          <w:rFonts w:ascii="Arial" w:cs="Arial" w:eastAsia="Arial" w:hAnsi="Arial"/>
          <w:sz w:val="24"/>
          <w:szCs w:val="24"/>
        </w:rPr>
        <w:t xml:space="preserve">Площадь территории парков, садов и скверов следует принимать, га, не менее: городских парков- 15, парков планировочных районов - 10, садов жилых районов - 3, скверов - 0,5, для условий реконструкции площадь скверов может быть меньших размеров.</w:t>
      </w:r>
    </w:p>
    <w:p>
      <w:pPr>
        <w:spacing w:after="120"/>
        <w:ind w:firstLine="397"/>
        <w:jc w:val="both"/>
      </w:pPr>
      <w:r>
        <w:rPr>
          <w:rFonts w:ascii="Arial" w:cs="Arial" w:eastAsia="Arial" w:hAnsi="Arial"/>
          <w:sz w:val="24"/>
          <w:szCs w:val="24"/>
        </w:rPr>
        <w:t xml:space="preserve">В общем балансе территории парков и садов площадь озелененных территорий следует принимать не менее 70%.</w:t>
      </w:r>
    </w:p>
    <w:p>
      <w:pPr>
        <w:spacing w:after="120"/>
        <w:ind w:firstLine="397"/>
        <w:jc w:val="both"/>
      </w:pPr>
      <w:r>
        <w:rPr>
          <w:rFonts w:ascii="Arial" w:cs="Arial" w:eastAsia="Arial" w:hAnsi="Arial"/>
          <w:sz w:val="24"/>
          <w:szCs w:val="24"/>
        </w:rPr>
        <w:t xml:space="preserve">7.8. При строительстве парков на пойменных территориях необходимо соблюдать требования раздела 11 настоящего свода правил. </w:t>
      </w:r>
    </w:p>
    <w:p>
      <w:pPr>
        <w:spacing w:after="120"/>
        <w:ind w:firstLine="397"/>
        <w:jc w:val="both"/>
      </w:pPr>
      <w:r>
        <w:rPr>
          <w:rFonts w:ascii="Arial" w:cs="Arial" w:eastAsia="Arial" w:hAnsi="Arial"/>
          <w:sz w:val="24"/>
          <w:szCs w:val="24"/>
        </w:rPr>
        <w:t xml:space="preserve">7.9. Бульвары и пешеходные аллеи следует предусматривать в направлении массовых потоков пешеходного движения. Размещение бульвара, его протяженность и ширину, а также место в поперечном профиле улицы следует определять с учетом архитектурно-планировочного решения улицы и ее застройки. На бульварах и пешеходных аллеях следует предусматривать площадки для кратковременного отдыха.</w:t>
      </w:r>
    </w:p>
    <w:p>
      <w:pPr>
        <w:spacing w:after="120"/>
        <w:ind w:firstLine="397"/>
        <w:jc w:val="both"/>
      </w:pPr>
      <w:r>
        <w:rPr>
          <w:rFonts w:ascii="Arial" w:cs="Arial" w:eastAsia="Arial" w:hAnsi="Arial"/>
          <w:sz w:val="24"/>
          <w:szCs w:val="24"/>
        </w:rPr>
        <w:t xml:space="preserve">Ширину бульваров с одной продольной пешеходной аллеей следует принимать, м, не менее, размещаемых:</w:t>
      </w:r>
    </w:p>
    <w:p>
      <w:pPr>
        <w:spacing w:after="120"/>
        <w:ind w:firstLine="397"/>
        <w:jc w:val="both"/>
      </w:pPr>
      <w:r>
        <w:rPr>
          <w:rFonts w:ascii="Arial" w:cs="Arial" w:eastAsia="Arial" w:hAnsi="Arial"/>
          <w:sz w:val="24"/>
          <w:szCs w:val="24"/>
        </w:rPr>
        <w:t xml:space="preserve">по оси улиц       18</w:t>
      </w:r>
    </w:p>
    <w:p>
      <w:pPr>
        <w:spacing w:after="120"/>
        <w:ind w:firstLine="397"/>
        <w:jc w:val="both"/>
      </w:pPr>
      <w:r>
        <w:rPr>
          <w:rFonts w:ascii="Arial" w:cs="Arial" w:eastAsia="Arial" w:hAnsi="Arial"/>
          <w:sz w:val="24"/>
          <w:szCs w:val="24"/>
        </w:rPr>
        <w:t xml:space="preserve">с одной стороны улицы между</w:t>
      </w:r>
    </w:p>
    <w:p>
      <w:pPr>
        <w:spacing w:after="120"/>
        <w:ind w:firstLine="397"/>
        <w:jc w:val="both"/>
      </w:pPr>
      <w:r>
        <w:rPr>
          <w:rFonts w:ascii="Arial" w:cs="Arial" w:eastAsia="Arial" w:hAnsi="Arial"/>
          <w:sz w:val="24"/>
          <w:szCs w:val="24"/>
        </w:rPr>
        <w:t xml:space="preserve">проезжей частью и застройкой      10</w:t>
      </w:r>
    </w:p>
    <w:p>
      <w:pPr>
        <w:spacing w:after="120"/>
        <w:ind w:firstLine="397"/>
        <w:jc w:val="both"/>
      </w:pPr>
      <w:r>
        <w:rPr>
          <w:rFonts w:ascii="Arial" w:cs="Arial" w:eastAsia="Arial" w:hAnsi="Arial"/>
          <w:sz w:val="24"/>
          <w:szCs w:val="24"/>
        </w:rPr>
        <w:t xml:space="preserve">7.10.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 Число светильников следует определять по нормам освещенности территории.</w:t>
      </w:r>
    </w:p>
    <w:p>
      <w:pPr>
        <w:spacing w:after="120"/>
        <w:ind w:firstLine="397"/>
        <w:jc w:val="both"/>
      </w:pPr>
      <w:r>
        <w:rPr>
          <w:rFonts w:ascii="Arial" w:cs="Arial" w:eastAsia="Arial" w:hAnsi="Arial"/>
          <w:sz w:val="24"/>
          <w:szCs w:val="24"/>
        </w:rPr>
        <w:t xml:space="preserve">7.11. Дорожную сеть ландшафтно-рекреационных территорий (дорог,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p>
    <w:p>
      <w:pPr>
        <w:spacing w:after="120"/>
        <w:ind w:firstLine="397"/>
        <w:jc w:val="both"/>
      </w:pPr>
      <w:r>
        <w:rPr>
          <w:rFonts w:ascii="Arial" w:cs="Arial" w:eastAsia="Arial" w:hAnsi="Arial"/>
          <w:sz w:val="24"/>
          <w:szCs w:val="24"/>
        </w:rPr>
        <w:t xml:space="preserve">Покрытия площадок, дорожно-тропиночной сети в пределах ландшафтно-рекреационных территорий следует применять из плиток, щебня и других прочных минеральных материалов, допуская применения асфальтового покрытия в исключительных случаях.</w:t>
      </w:r>
    </w:p>
    <w:p>
      <w:pPr>
        <w:spacing w:after="120"/>
        <w:ind w:firstLine="397"/>
        <w:jc w:val="both"/>
      </w:pPr>
      <w:r>
        <w:rPr>
          <w:rFonts w:ascii="Arial" w:cs="Arial" w:eastAsia="Arial" w:hAnsi="Arial"/>
          <w:sz w:val="24"/>
          <w:szCs w:val="24"/>
        </w:rPr>
        <w:t xml:space="preserve">7.12. Расстояние от зданий, сооружений, а также объектов инженерного благоустройства до деревьев и кустарников следует принимать по таблице 3.</w:t>
      </w:r>
    </w:p>
    <w:p>
      <w:pPr>
        <w:spacing w:after="120"/>
        <w:ind w:firstLine="397"/>
        <w:jc w:val="both"/>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42"/>
        <w:gridCol w:w="1868"/>
        <w:gridCol w:w="1868"/>
      </w:tblGrid>
      <w:tr>
        <w:tc>
          <w:tcPr>
            <w:tcW w:type="dxa" w:w="6442"/>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Здание, сооружение, объект инженерного благоустройства</w:t>
            </w:r>
          </w:p>
        </w:tc>
        <w:tc>
          <w:tcPr>
            <w:tcW w:type="dxa" w:w="373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Расстояния, м, от здания, сооружения, объекта до оси</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ствола дерева</w:t>
            </w:r>
          </w:p>
        </w:tc>
        <w:tc>
          <w:tcPr>
            <w:tcW w:type="dxa" w:w="18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кустарника</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Наружная стена здания и сооружения</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Край тротуара и садовой дорожки</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Край проезжей части улиц, кромка укрепленной полосы обочины дороги или бровка канавы</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Мачта и опора осветительной сети, мостовая опора и эстакада</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Подошва откоса, террасы и др.</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Подошва или внутренняя грань подпорной стенки</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Подземные сети:</w:t>
            </w:r>
          </w:p>
          <w:p>
            <w:pPr>
              <w:jc w:val="both"/>
            </w:pPr>
            <w:r>
              <w:rPr>
                <w:rFonts w:ascii="Arial" w:cs="Arial" w:eastAsia="Arial" w:hAnsi="Arial"/>
                <w:sz w:val="24"/>
                <w:szCs w:val="24"/>
              </w:rPr>
              <w:t xml:space="preserve">газопровод, канализация </w:t>
            </w:r>
          </w:p>
          <w:p>
            <w:pPr>
              <w:jc w:val="both"/>
            </w:pPr>
            <w:r>
              <w:rPr>
                <w:rFonts w:ascii="Arial" w:cs="Arial" w:eastAsia="Arial" w:hAnsi="Arial"/>
                <w:sz w:val="24"/>
                <w:szCs w:val="24"/>
              </w:rPr>
              <w:t xml:space="preserve">тепловая сеть (стенка канала, тоннеля или оболочка при без канальной прокладке) </w:t>
            </w:r>
          </w:p>
          <w:p>
            <w:pPr>
              <w:jc w:val="both"/>
            </w:pPr>
            <w:r>
              <w:rPr>
                <w:rFonts w:ascii="Arial" w:cs="Arial" w:eastAsia="Arial" w:hAnsi="Arial"/>
                <w:sz w:val="24"/>
                <w:szCs w:val="24"/>
              </w:rPr>
              <w:t xml:space="preserve">водопровод, дренаж </w:t>
            </w:r>
          </w:p>
          <w:p>
            <w:pPr>
              <w:jc w:val="both"/>
            </w:pPr>
            <w:r>
              <w:rPr>
                <w:rFonts w:ascii="Arial" w:cs="Arial" w:eastAsia="Arial" w:hAnsi="Arial"/>
                <w:sz w:val="24"/>
                <w:szCs w:val="24"/>
              </w:rPr>
              <w:t xml:space="preserve">силовой кабель и кабель связи</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 </w:t>
            </w:r>
          </w:p>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 </w:t>
            </w:r>
          </w:p>
          <w:p>
            <w:pPr>
              <w:jc w:val="both"/>
            </w:pPr>
            <w:r>
              <w:rPr>
                <w:rFonts w:ascii="Arial" w:cs="Arial" w:eastAsia="Arial" w:hAnsi="Arial"/>
                <w:sz w:val="24"/>
                <w:szCs w:val="24"/>
              </w:rPr>
              <w:t xml:space="preserve">2,0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0,7</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7.12.1. Приведенные нормы относятся к деревьям с диаметром кроны не более 5 м и должны быть увеличены для деревьев с кроной большего диаметра.</w:t>
      </w:r>
    </w:p>
    <w:p>
      <w:pPr>
        <w:spacing w:after="120"/>
        <w:ind w:firstLine="397"/>
        <w:jc w:val="both"/>
      </w:pPr>
      <w:r>
        <w:rPr>
          <w:rFonts w:ascii="Arial" w:cs="Arial" w:eastAsia="Arial" w:hAnsi="Arial"/>
          <w:sz w:val="24"/>
          <w:szCs w:val="24"/>
        </w:rPr>
        <w:t xml:space="preserve">7.12.2. Расстояние от воздушных линий электропередачи до деревьев следует принимать по правилам устройства электроустановок.</w:t>
      </w:r>
    </w:p>
    <w:p>
      <w:pPr>
        <w:spacing w:after="120"/>
        <w:ind w:firstLine="397"/>
        <w:jc w:val="both"/>
      </w:pPr>
      <w:r>
        <w:rPr>
          <w:rFonts w:ascii="Arial" w:cs="Arial" w:eastAsia="Arial" w:hAnsi="Arial"/>
          <w:sz w:val="24"/>
          <w:szCs w:val="24"/>
        </w:rPr>
        <w:t xml:space="preserve">7.12.3. Деревья, высаживаемые у зданий, не должны препятствовать инсоляции и освещенности жилых и общественных помещений в пределах требований, изложенных в разделе 11 настоящего свода правил.</w:t>
      </w:r>
    </w:p>
    <w:p>
      <w:pPr>
        <w:spacing w:after="120"/>
        <w:ind w:firstLine="397"/>
        <w:jc w:val="both"/>
      </w:pPr>
      <w:r>
        <w:rPr>
          <w:rFonts w:ascii="Arial" w:cs="Arial" w:eastAsia="Arial" w:hAnsi="Arial"/>
          <w:sz w:val="24"/>
          <w:szCs w:val="24"/>
        </w:rPr>
        <w:t xml:space="preserve">7.13. В зеленых зонах городов следует предусматривать питомники древесных и кустарниковых растений и цветочно-оранжерейные хозяйства с учетом обеспечения посадочным материалом группы городских и сельских населенных пунктов.</w:t>
      </w:r>
    </w:p>
    <w:p>
      <w:pPr>
        <w:spacing w:after="120"/>
        <w:ind w:firstLine="397"/>
        <w:jc w:val="both"/>
      </w:pPr>
      <w:r>
        <w:rPr>
          <w:rFonts w:ascii="Arial" w:cs="Arial" w:eastAsia="Arial" w:hAnsi="Arial"/>
          <w:sz w:val="24"/>
          <w:szCs w:val="24"/>
        </w:rPr>
        <w:t xml:space="preserve">Площадь питомников следует принимать из расчета 3-5 м2/чел. в зависимости от уровня обеспеченности населения озелененными территориями общего пользования, размеров санитарно-защитных зон, развития садоводческих товариществ, особенностей природно-климатических и других местных условий. Общую площадь цветочно-оранжерейных хозяйств следует принимать из расчета 0,4 м2/чел.</w:t>
      </w:r>
    </w:p>
    <w:p>
      <w:pPr>
        <w:spacing w:after="120"/>
        <w:ind w:firstLine="397"/>
        <w:jc w:val="both"/>
      </w:pPr>
      <w:r>
        <w:rPr>
          <w:rFonts w:ascii="Arial" w:cs="Arial" w:eastAsia="Arial" w:hAnsi="Arial"/>
          <w:sz w:val="24"/>
          <w:szCs w:val="24"/>
        </w:rPr>
        <w:t xml:space="preserve">7.14 На территориях парков возможно строительство зданий и сооружений функционально соответствующих организации и направленности каждого парка: предприятия общественного питания, выставочные залы, галереи, музеи, клубные, театральные, физкультурно-спортивные и культурно-массовые сооружения. При этом суммарная площадь застройки таких объектов, размещаемых на территории парка не должна превышать 15% от площади данного 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Зоны отдыха и курортные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7.15. Размещение зон массового кратковременного отдыха следует предусматривать с учетом доступности этих зон на общественном транспорте, не более 1,5 ч.</w:t>
      </w:r>
    </w:p>
    <w:p>
      <w:pPr>
        <w:spacing w:after="120"/>
        <w:ind w:firstLine="397"/>
        <w:jc w:val="both"/>
      </w:pPr>
      <w:r>
        <w:rPr>
          <w:rFonts w:ascii="Arial" w:cs="Arial" w:eastAsia="Arial" w:hAnsi="Arial"/>
          <w:sz w:val="24"/>
          <w:szCs w:val="24"/>
        </w:rPr>
        <w:t xml:space="preserve">7.16. Размеры территорий зон отдыха следует принимать из расчета 500-1000 м2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участка зоны массового кратковременного отдыха следует принимать не менее 50 га.</w:t>
      </w:r>
    </w:p>
    <w:p>
      <w:pPr>
        <w:spacing w:after="120"/>
        <w:ind w:firstLine="397"/>
        <w:jc w:val="both"/>
      </w:pPr>
      <w:r>
        <w:rPr>
          <w:rFonts w:ascii="Arial" w:cs="Arial" w:eastAsia="Arial" w:hAnsi="Arial"/>
          <w:sz w:val="24"/>
          <w:szCs w:val="24"/>
        </w:rPr>
        <w:t xml:space="preserve">7.16.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рекомендуемому приложению 8.</w:t>
      </w:r>
    </w:p>
    <w:p>
      <w:pPr>
        <w:spacing w:after="120"/>
        <w:ind w:firstLine="397"/>
        <w:jc w:val="both"/>
      </w:pPr>
      <w:r>
        <w:rPr>
          <w:rFonts w:ascii="Arial" w:cs="Arial" w:eastAsia="Arial" w:hAnsi="Arial"/>
          <w:sz w:val="24"/>
          <w:szCs w:val="24"/>
        </w:rPr>
        <w:t xml:space="preserve">7.17. Курортная зона должна быть размещена на территориях, обладающих природными лечебными факторами, наиболее благоприятными микроклиматическими, ландшафтными и санитарно гигиеническими условиями. В ее пределах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формирующие общественные центры, включая общекурортный центр, курортные парки и другие озелененные территории общего пользования, пляжи.</w:t>
      </w:r>
    </w:p>
    <w:p>
      <w:pPr>
        <w:spacing w:after="120"/>
        <w:ind w:firstLine="397"/>
        <w:jc w:val="both"/>
      </w:pPr>
      <w:r>
        <w:rPr>
          <w:rFonts w:ascii="Arial" w:cs="Arial" w:eastAsia="Arial" w:hAnsi="Arial"/>
          <w:sz w:val="24"/>
          <w:szCs w:val="24"/>
        </w:rPr>
        <w:t xml:space="preserve">7.18. При проектировании курортных зон следует предусматривать:</w:t>
      </w:r>
    </w:p>
    <w:p>
      <w:pPr>
        <w:spacing w:after="120"/>
        <w:ind w:firstLine="397"/>
        <w:jc w:val="both"/>
      </w:pPr>
      <w:r>
        <w:rPr>
          <w:rFonts w:ascii="Arial" w:cs="Arial" w:eastAsia="Arial" w:hAnsi="Arial"/>
          <w:sz w:val="24"/>
          <w:szCs w:val="24"/>
        </w:rPr>
        <w:t xml:space="preserve">размещение санаторно-курортных учреждений длительного отдыха на территориях с допустимыми уровнями шума; детских санаторно-курортных и оздоровительных учреждений изолированно от учреждений для взрослых с отделением их полосой зеленых насаждений шириной не менее 100 м;</w:t>
      </w:r>
    </w:p>
    <w:p>
      <w:pPr>
        <w:spacing w:after="120"/>
        <w:ind w:firstLine="397"/>
        <w:jc w:val="both"/>
      </w:pPr>
      <w:r>
        <w:rPr>
          <w:rFonts w:ascii="Arial" w:cs="Arial" w:eastAsia="Arial" w:hAnsi="Arial"/>
          <w:sz w:val="24"/>
          <w:szCs w:val="24"/>
        </w:rPr>
        <w:t xml:space="preserve">вынос промышленных и коммунально-складских объектов, жилой застройки и общественных зданий, не связанных с обслуживанием лечащихся и отдыхающих;</w:t>
      </w:r>
    </w:p>
    <w:p>
      <w:pPr>
        <w:spacing w:after="120"/>
        <w:ind w:firstLine="397"/>
        <w:jc w:val="both"/>
      </w:pPr>
      <w:r>
        <w:rPr>
          <w:rFonts w:ascii="Arial" w:cs="Arial" w:eastAsia="Arial" w:hAnsi="Arial"/>
          <w:sz w:val="24"/>
          <w:szCs w:val="24"/>
        </w:rPr>
        <w:t xml:space="preserve">ограничение движения транспорта и полное исключение транзитных транспортных потоков.</w:t>
      </w:r>
    </w:p>
    <w:p>
      <w:pPr>
        <w:spacing w:after="120"/>
        <w:ind w:firstLine="397"/>
        <w:jc w:val="both"/>
      </w:pPr>
      <w:r>
        <w:rPr>
          <w:rFonts w:ascii="Arial" w:cs="Arial" w:eastAsia="Arial" w:hAnsi="Arial"/>
          <w:sz w:val="24"/>
          <w:szCs w:val="24"/>
        </w:rPr>
        <w:t xml:space="preserve">7.19. Однородные и близкие по профилю санаторно-курортные и оздоровительные учреждения, размещаемые в пределах курортных зон, следует объединять в комплексы, обеспечивая централизацию медицинского, культурно-бытового и хозяйственного обслуживания и единое архитектурно-пространственное решение.</w:t>
      </w:r>
    </w:p>
    <w:p>
      <w:pPr>
        <w:spacing w:after="120"/>
        <w:ind w:firstLine="397"/>
        <w:jc w:val="both"/>
      </w:pPr>
      <w:r>
        <w:rPr>
          <w:rFonts w:ascii="Arial" w:cs="Arial" w:eastAsia="Arial" w:hAnsi="Arial"/>
          <w:sz w:val="24"/>
          <w:szCs w:val="24"/>
        </w:rPr>
        <w:t xml:space="preserve">7.20. Размеры территорий общего пользования курортных зон следует устанавливать из расчета, м на одно место, в санаторно-курортных и оздоровительных учреждениях: общекурортных центров – 10, озелененных – 100.</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7.20.1 В курортных зонах сложившихся курортов, а также горных курортов размеры озелененных территорий общего пользования допускается уменьшать, но не более чем на 50%.</w:t>
      </w:r>
    </w:p>
    <w:p>
      <w:pPr>
        <w:spacing w:after="120"/>
        <w:ind w:firstLine="397"/>
        <w:jc w:val="both"/>
      </w:pPr>
      <w:r>
        <w:rPr>
          <w:rFonts w:ascii="Arial" w:cs="Arial" w:eastAsia="Arial" w:hAnsi="Arial"/>
          <w:sz w:val="24"/>
          <w:szCs w:val="24"/>
        </w:rPr>
        <w:t xml:space="preserve">7.21. Размеры территории пляжей, размещаемых в курортных зонах и зонах отдыха, следует принимать, м2 на одного посетителя, не менее:</w:t>
      </w:r>
    </w:p>
    <w:p>
      <w:pPr>
        <w:spacing w:after="120"/>
        <w:ind w:firstLine="397"/>
        <w:jc w:val="both"/>
      </w:pPr>
      <w:r>
        <w:rPr>
          <w:rFonts w:ascii="Arial" w:cs="Arial" w:eastAsia="Arial" w:hAnsi="Arial"/>
          <w:sz w:val="24"/>
          <w:szCs w:val="24"/>
        </w:rPr>
        <w:t xml:space="preserve">речных и озерных       8</w:t>
      </w:r>
    </w:p>
    <w:p>
      <w:pPr>
        <w:spacing w:after="120"/>
        <w:ind w:firstLine="397"/>
        <w:jc w:val="both"/>
      </w:pPr>
      <w:r>
        <w:rPr>
          <w:rFonts w:ascii="Arial" w:cs="Arial" w:eastAsia="Arial" w:hAnsi="Arial"/>
          <w:sz w:val="24"/>
          <w:szCs w:val="24"/>
        </w:rPr>
        <w:t xml:space="preserve">речных и озерных (для детей)        4</w:t>
      </w:r>
    </w:p>
    <w:p>
      <w:pPr>
        <w:spacing w:after="120"/>
        <w:ind w:firstLine="397"/>
        <w:jc w:val="both"/>
      </w:pPr>
      <w:r>
        <w:rPr>
          <w:rFonts w:ascii="Arial" w:cs="Arial" w:eastAsia="Arial" w:hAnsi="Arial"/>
          <w:sz w:val="24"/>
          <w:szCs w:val="24"/>
        </w:rPr>
        <w:t xml:space="preserve">Размеры речных и озерных пляжей, размещаемых на землях, пригодных для сельскохозяйственного использования, следует принимать из расчета 5 м2 на одного посетителя.</w:t>
      </w:r>
    </w:p>
    <w:p>
      <w:pPr>
        <w:spacing w:after="120"/>
        <w:ind w:firstLine="397"/>
        <w:jc w:val="both"/>
      </w:pPr>
      <w:r>
        <w:rPr>
          <w:rFonts w:ascii="Arial" w:cs="Arial" w:eastAsia="Arial" w:hAnsi="Arial"/>
          <w:sz w:val="24"/>
          <w:szCs w:val="24"/>
        </w:rPr>
        <w:t xml:space="preserve">Размеры территории специализированных лечебных пляжей для лечащихся с ограниченной подвижностью следует принимать из расчета 8-12 м на одного посетителя.</w:t>
      </w:r>
    </w:p>
    <w:p>
      <w:pPr>
        <w:spacing w:after="120"/>
        <w:ind w:firstLine="397"/>
        <w:jc w:val="both"/>
      </w:pPr>
      <w:r>
        <w:rPr>
          <w:rFonts w:ascii="Arial" w:cs="Arial" w:eastAsia="Arial" w:hAnsi="Arial"/>
          <w:sz w:val="24"/>
          <w:szCs w:val="24"/>
        </w:rPr>
        <w:t xml:space="preserve">Минимальную протяженность береговой полосы пляжа на одного посетителя следует принимать не менее - 0.25 м.</w:t>
      </w:r>
    </w:p>
    <w:p>
      <w:pPr>
        <w:spacing w:after="120"/>
        <w:ind w:firstLine="397"/>
        <w:jc w:val="both"/>
      </w:pPr>
      <w:r>
        <w:rPr>
          <w:rFonts w:ascii="Arial" w:cs="Arial" w:eastAsia="Arial" w:hAnsi="Arial"/>
          <w:sz w:val="24"/>
          <w:szCs w:val="24"/>
        </w:rPr>
        <w:t xml:space="preserve">Рассчитывать число единовременных посетителей на пляжах следует с учетом коэффициентов одновременной загрузки пляжей:</w:t>
      </w:r>
    </w:p>
    <w:p>
      <w:pPr>
        <w:spacing w:after="120"/>
        <w:ind w:firstLine="397"/>
        <w:jc w:val="both"/>
      </w:pPr>
      <w:r>
        <w:rPr>
          <w:rFonts w:ascii="Arial" w:cs="Arial" w:eastAsia="Arial" w:hAnsi="Arial"/>
          <w:sz w:val="24"/>
          <w:szCs w:val="24"/>
        </w:rPr>
        <w:t xml:space="preserve">санаториев       0,6-0,8</w:t>
      </w:r>
    </w:p>
    <w:p>
      <w:pPr>
        <w:spacing w:after="120"/>
        <w:ind w:firstLine="397"/>
        <w:jc w:val="both"/>
      </w:pPr>
      <w:r>
        <w:rPr>
          <w:rFonts w:ascii="Arial" w:cs="Arial" w:eastAsia="Arial" w:hAnsi="Arial"/>
          <w:sz w:val="24"/>
          <w:szCs w:val="24"/>
        </w:rPr>
        <w:t xml:space="preserve">учреждений отдыха и туризма       0,7-0,9</w:t>
      </w:r>
    </w:p>
    <w:p>
      <w:pPr>
        <w:spacing w:after="120"/>
        <w:ind w:firstLine="397"/>
        <w:jc w:val="both"/>
      </w:pPr>
      <w:r>
        <w:rPr>
          <w:rFonts w:ascii="Arial" w:cs="Arial" w:eastAsia="Arial" w:hAnsi="Arial"/>
          <w:sz w:val="24"/>
          <w:szCs w:val="24"/>
        </w:rPr>
        <w:t xml:space="preserve">детских лагерей          0,5-1,0</w:t>
      </w:r>
    </w:p>
    <w:p>
      <w:pPr>
        <w:spacing w:after="120"/>
        <w:ind w:firstLine="397"/>
        <w:jc w:val="both"/>
      </w:pPr>
      <w:r>
        <w:rPr>
          <w:rFonts w:ascii="Arial" w:cs="Arial" w:eastAsia="Arial" w:hAnsi="Arial"/>
          <w:sz w:val="24"/>
          <w:szCs w:val="24"/>
        </w:rPr>
        <w:t xml:space="preserve">общего пользования для местного населения  0,2</w:t>
      </w:r>
    </w:p>
    <w:p>
      <w:pPr>
        <w:spacing w:after="120"/>
        <w:ind w:firstLine="397"/>
        <w:jc w:val="both"/>
      </w:pPr>
      <w:r>
        <w:rPr>
          <w:rFonts w:ascii="Arial" w:cs="Arial" w:eastAsia="Arial" w:hAnsi="Arial"/>
          <w:sz w:val="24"/>
          <w:szCs w:val="24"/>
        </w:rPr>
        <w:t xml:space="preserve">отдыхающих без путевок     0,5</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8</w:t>
      </w:r>
      <w:r>
        <w:rPr>
          <w:rFonts w:ascii="Arial" w:cs="Arial" w:eastAsia="Arial" w:hAnsi="Arial"/>
          <w:sz w:val="24"/>
          <w:szCs w:val="24"/>
        </w:rPr>
        <w:t xml:space="preserve">.</w:t>
      </w:r>
      <w:r>
        <w:rPr>
          <w:rFonts w:ascii="Arial" w:cs="Arial" w:eastAsia="Arial" w:hAnsi="Arial"/>
          <w:b/>
          <w:bCs/>
          <w:sz w:val="24"/>
          <w:szCs w:val="24"/>
        </w:rPr>
        <w:t xml:space="preserve"> Учреждения и предприятия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Учреждения и предприятия обслуживания следует размещать на территории городов и населенных пунктов, приближая их к местам жительства и работы, предусматривая формирование общественных центров в увязке с сетью общественного пассажирского транспорта.</w:t>
      </w:r>
    </w:p>
    <w:p>
      <w:pPr>
        <w:spacing w:after="120"/>
        <w:ind w:firstLine="397"/>
        <w:jc w:val="both"/>
      </w:pPr>
      <w:r>
        <w:rPr>
          <w:rFonts w:ascii="Arial" w:cs="Arial" w:eastAsia="Arial" w:hAnsi="Arial"/>
          <w:sz w:val="24"/>
          <w:szCs w:val="24"/>
        </w:rPr>
        <w:t xml:space="preserve">Для ориентировочных расчетов число учреждений и предприятий обслуживания и размеры их земельных участков допускается принимать в соответствии с рекомендуемым приложением 6.</w:t>
      </w:r>
    </w:p>
    <w:p>
      <w:pPr>
        <w:spacing w:after="120"/>
        <w:ind w:firstLine="397"/>
        <w:jc w:val="both"/>
      </w:pPr>
      <w:r>
        <w:rPr>
          <w:rFonts w:ascii="Arial" w:cs="Arial" w:eastAsia="Arial" w:hAnsi="Arial"/>
          <w:sz w:val="24"/>
          <w:szCs w:val="24"/>
        </w:rPr>
        <w:t xml:space="preserve">Размещение, вместимость и размеры земельных участков учреждений и предприятий обслуживания, не указанных в настоящем разделе и в рекомендуемом приложении 6, следует принимать по заданию на проектирование.</w:t>
      </w:r>
    </w:p>
    <w:p>
      <w:pPr>
        <w:spacing w:after="120"/>
        <w:ind w:firstLine="397"/>
        <w:jc w:val="both"/>
      </w:pPr>
      <w:r>
        <w:rPr>
          <w:rFonts w:ascii="Arial" w:cs="Arial" w:eastAsia="Arial" w:hAnsi="Arial"/>
          <w:sz w:val="24"/>
          <w:szCs w:val="24"/>
        </w:rPr>
        <w:t xml:space="preserve">8.2. При определении числа, состава и вместимости учреждений и предприятий обслуживания в городах-центрах систем расселения следует дополнительно учитывать приезжающее население из других городских и сельских населенных пунктов, расположенных в зоне, ограниченной затратами времени на передвижения в большой, крупный и крупнейший город-центр не более 2 ч, в малые и средние города-центры или подцентры систем расселения - не более 1 ч; в исторических городах необходимо учитывать также туристов.</w:t>
      </w:r>
    </w:p>
    <w:p>
      <w:pPr>
        <w:spacing w:after="120"/>
        <w:ind w:firstLine="397"/>
        <w:jc w:val="both"/>
      </w:pPr>
      <w:r>
        <w:rPr>
          <w:rFonts w:ascii="Arial" w:cs="Arial" w:eastAsia="Arial" w:hAnsi="Arial"/>
          <w:sz w:val="24"/>
          <w:szCs w:val="24"/>
        </w:rPr>
        <w:t xml:space="preserve">8.3. Радиус обслуживания населения учреждениями и предприятиями, размещаемыми в жилой застройке, следует принимать не более указанного в таблице 4.</w:t>
      </w:r>
    </w:p>
    <w:p>
      <w:pPr>
        <w:spacing w:after="120"/>
        <w:ind w:firstLine="397"/>
        <w:jc w:val="both"/>
      </w:pPr>
      <w:r>
        <w:rPr>
          <w:rFonts w:ascii="Arial" w:cs="Arial" w:eastAsia="Arial" w:hAnsi="Arial"/>
          <w:sz w:val="24"/>
          <w:szCs w:val="24"/>
        </w:rPr>
        <w:t xml:space="preserve">8.4. Расстояния от зданий и границ земельных участков учреждений и пред-приятий обслуживания следует принимать не менее приведенных в таблице 5.</w:t>
      </w:r>
    </w:p>
    <w:p>
      <w:pPr>
        <w:spacing w:after="120"/>
        <w:ind w:firstLine="397"/>
        <w:jc w:val="both"/>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4"/>
        <w:gridCol w:w="3884"/>
      </w:tblGrid>
      <w:tr>
        <w:tc>
          <w:tcPr>
            <w:tcW w:type="dxa" w:w="62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и предприятия обслуживания</w:t>
            </w:r>
          </w:p>
        </w:tc>
        <w:tc>
          <w:tcPr>
            <w:tcW w:type="dxa" w:w="38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Радиус обслуживания, м</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образовательные организации:</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городах</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малых городах, при одно- и двухэтажной застройке</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школы1</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 (500 для начальных классов)</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Помещение для физкультурно-оздоровительных занятий</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Физкультурно-спортивные центры жилых районов</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Поликлиники и их филиалы в городах</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Раздаточные пункты молочной кухни</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при одно- и двухэтажной застройке</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Аптеки в городах</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при одно- и двухэтажной застройке</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торговли, общественного питания и бытового обслуживания местного назначения:</w:t>
            </w:r>
          </w:p>
          <w:p>
            <w:pPr>
              <w:jc w:val="both"/>
            </w:pPr>
            <w:r>
              <w:rPr>
                <w:rFonts w:ascii="Arial" w:cs="Arial" w:eastAsia="Arial" w:hAnsi="Arial"/>
                <w:sz w:val="24"/>
                <w:szCs w:val="24"/>
              </w:rPr>
              <w:t xml:space="preserve"> в городах при застройке: </w:t>
            </w:r>
          </w:p>
          <w:p>
            <w:pPr>
              <w:jc w:val="both"/>
            </w:pPr>
            <w:r>
              <w:rPr>
                <w:rFonts w:ascii="Arial" w:cs="Arial" w:eastAsia="Arial" w:hAnsi="Arial"/>
                <w:sz w:val="24"/>
                <w:szCs w:val="24"/>
              </w:rPr>
              <w:t xml:space="preserve">многоэтажной </w:t>
            </w:r>
          </w:p>
          <w:p>
            <w:pPr>
              <w:jc w:val="both"/>
            </w:pPr>
            <w:r>
              <w:rPr>
                <w:rFonts w:ascii="Arial" w:cs="Arial" w:eastAsia="Arial" w:hAnsi="Arial"/>
                <w:sz w:val="24"/>
                <w:szCs w:val="24"/>
              </w:rPr>
              <w:t xml:space="preserve">одно-, двухэтажной </w:t>
            </w:r>
          </w:p>
          <w:p>
            <w:pPr>
              <w:jc w:val="both"/>
            </w:pPr>
            <w:r>
              <w:rPr>
                <w:rFonts w:ascii="Arial" w:cs="Arial" w:eastAsia="Arial" w:hAnsi="Arial"/>
                <w:sz w:val="24"/>
                <w:szCs w:val="24"/>
              </w:rPr>
              <w:t xml:space="preserve">в сельских поселениях</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 </w:t>
            </w:r>
          </w:p>
          <w:p>
            <w:pPr>
              <w:jc w:val="both"/>
            </w:pPr>
            <w:r>
              <w:rPr>
                <w:rFonts w:ascii="Arial" w:cs="Arial" w:eastAsia="Arial" w:hAnsi="Arial"/>
                <w:sz w:val="24"/>
                <w:szCs w:val="24"/>
              </w:rPr>
              <w:t xml:space="preserve">800 </w:t>
            </w:r>
          </w:p>
          <w:p>
            <w:pPr>
              <w:jc w:val="both"/>
            </w:pPr>
            <w:r>
              <w:rPr>
                <w:rFonts w:ascii="Arial" w:cs="Arial" w:eastAsia="Arial" w:hAnsi="Arial"/>
                <w:sz w:val="24"/>
                <w:szCs w:val="24"/>
              </w:rPr>
              <w:t xml:space="preserve">2000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Отделения связи и филиалы банков</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Указанный радиус обслуживания не распространяется на специализированные и оздоровительные детские образовательные организации, а также на специальные детские ясли-сады общего типа и общеобразовательные школы (языковые, математические, спортивные и т.п.).</w:t>
      </w:r>
    </w:p>
    <w:p>
      <w:pPr>
        <w:spacing w:after="120"/>
        <w:ind w:firstLine="397"/>
        <w:jc w:val="both"/>
      </w:pPr>
      <w:r>
        <w:rPr>
          <w:rFonts w:ascii="Arial" w:cs="Arial" w:eastAsia="Arial" w:hAnsi="Arial"/>
          <w:sz w:val="24"/>
          <w:szCs w:val="24"/>
        </w:rPr>
        <w:t xml:space="preserve">Для климатических подрайонов IА, IГ в условиях сложного рельефа указанные в таблице 4 радиусы обслуживания следует уменьшать на 30 %.</w:t>
      </w:r>
    </w:p>
    <w:p>
      <w:pPr>
        <w:spacing w:after="120"/>
        <w:ind w:firstLine="397"/>
        <w:jc w:val="both"/>
      </w:pPr>
      <w:r>
        <w:rPr>
          <w:rFonts w:ascii="Arial" w:cs="Arial" w:eastAsia="Arial" w:hAnsi="Arial"/>
          <w:sz w:val="24"/>
          <w:szCs w:val="24"/>
        </w:rPr>
        <w:t xml:space="preserve">Пути подходов учащихся к общеобразовательным школам с начальными классами не должны пересекать проезжую часть магистральных улиц в одном уровне.</w:t>
      </w:r>
    </w:p>
    <w:p>
      <w:pPr>
        <w:spacing w:after="120"/>
        <w:ind w:firstLine="397"/>
        <w:jc w:val="both"/>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7"/>
        <w:gridCol w:w="2124"/>
        <w:gridCol w:w="2124"/>
        <w:gridCol w:w="2124"/>
      </w:tblGrid>
      <w:tr>
        <w:tc>
          <w:tcPr>
            <w:tcW w:type="dxa" w:w="380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Здания (земельные участки) учреждений предприятий обслуживания</w:t>
            </w:r>
          </w:p>
        </w:tc>
        <w:tc>
          <w:tcPr>
            <w:tcW w:type="dxa" w:w="6372"/>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зданий (границ участков) учреждений и предприятий обслуживания, м</w:t>
            </w:r>
          </w:p>
        </w:tc>
      </w:tr>
      <w:tr>
        <w:tc>
          <w:tcPr>
            <w:vMerge w:val="continue"/>
            <w:tcBorders>
              <w:top w:val="single" w:color="CBBF9E" w:sz="4"/>
              <w:left w:val="single" w:color="CBBF9E" w:sz="4"/>
              <w:bottom w:val="single" w:color="CBBF9E" w:sz="4"/>
              <w:right w:val="single" w:color="CBBF9E" w:sz="4"/>
            </w:tcBorders>
          </w:tcP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красной линии</w:t>
            </w:r>
          </w:p>
        </w:tc>
        <w:tc>
          <w:tcPr>
            <w:tcW w:type="dxa" w:w="21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стен жилых домов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зданий обще-образовательных школ, детских дошкольных и лечебных учреждений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городах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образовательные организации и общеобразовательные школы (стены здания)</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424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нормам инсоляции и освещенности</w:t>
            </w:r>
          </w:p>
        </w:tc>
      </w:tr>
      <w:tr>
        <w:tc>
          <w:tcPr>
            <w:tcW w:type="dxa" w:w="3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Приемные пункты вторичного сырья</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3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Пожарные депо</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3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Крематории, при количестве печей более одной</w:t>
            </w:r>
          </w:p>
          <w:p>
            <w:pPr>
              <w:jc w:val="both"/>
            </w:pPr>
            <w:r>
              <w:rPr>
                <w:rFonts w:ascii="Arial" w:cs="Arial" w:eastAsia="Arial" w:hAnsi="Arial"/>
                <w:sz w:val="24"/>
                <w:szCs w:val="24"/>
              </w:rPr>
              <w:t xml:space="preserve">Кладбища смешанного и традиционного захоронения площадью от 20 до 40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Кладбища смешанного и традиционного захоронения площадью от 10 до 20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Кладбища смешанного и традиционного захоронения площадью 10 и менее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Склады хранения пищевых продуктов (мясных, молочных, кондитерских, овощей, фруктов, напитков и др.), лекарственных, промышленных и хозяйственных товаров.</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tc>
      </w:tr>
    </w:tbl>
    <w:p>
      <w:pPr>
        <w:spacing w:after="120"/>
        <w:ind w:firstLine="397"/>
        <w:jc w:val="both"/>
      </w:pPr>
      <w:r>
        <w:rPr>
          <w:rFonts w:ascii="Arial" w:cs="Arial" w:eastAsia="Arial" w:hAnsi="Arial"/>
          <w:sz w:val="24"/>
          <w:szCs w:val="24"/>
        </w:rPr>
        <w:t xml:space="preserve">*С входами и окнами.</w:t>
      </w:r>
    </w:p>
    <w:p>
      <w:pPr>
        <w:spacing w:after="120"/>
        <w:ind w:firstLine="397"/>
        <w:jc w:val="both"/>
      </w:pPr>
      <w:r>
        <w:rPr>
          <w:rFonts w:ascii="Arial" w:cs="Arial" w:eastAsia="Arial" w:hAnsi="Arial"/>
          <w:sz w:val="24"/>
          <w:szCs w:val="24"/>
        </w:rPr>
        <w:t xml:space="preserve">Участки детских дошкольных учреждений, вновь размещаемых больниц не должны примыкать непосредственно к магистральным улицам.</w:t>
      </w:r>
    </w:p>
    <w:p>
      <w:pPr>
        <w:spacing w:after="120"/>
        <w:ind w:firstLine="397"/>
        <w:jc w:val="both"/>
      </w:pPr>
      <w:r>
        <w:rPr>
          <w:rFonts w:ascii="Arial" w:cs="Arial" w:eastAsia="Arial" w:hAnsi="Arial"/>
          <w:sz w:val="24"/>
          <w:szCs w:val="24"/>
        </w:rPr>
        <w:t xml:space="preserve">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pPr>
        <w:spacing w:after="120"/>
        <w:ind w:firstLine="397"/>
        <w:jc w:val="both"/>
      </w:pPr>
      <w:r>
        <w:rPr>
          <w:rFonts w:ascii="Arial" w:cs="Arial" w:eastAsia="Arial" w:hAnsi="Arial"/>
          <w:sz w:val="24"/>
          <w:szCs w:val="24"/>
        </w:rPr>
        <w:t xml:space="preserve">На земельном участке больницы необходимо предусматривать отдельные въезды в зоны хозяйственную и корпусов: лечебных- для инфекционных и неинфекционных больных (отдельно) и паталого-анатомического.</w:t>
      </w:r>
    </w:p>
    <w:p>
      <w:pPr>
        <w:spacing w:after="240" w:before="200"/>
        <w:jc w:val="center"/>
      </w:pPr>
      <w:r>
        <w:rPr>
          <w:rFonts w:ascii="Arial" w:cs="Arial" w:eastAsia="Arial" w:hAnsi="Arial"/>
          <w:b/>
          <w:bCs/>
          <w:sz w:val="32"/>
          <w:szCs w:val="32"/>
        </w:rPr>
        <w:t xml:space="preserve">9. Транспорт и улично-дорожная сеть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При проектировании городов и населенных пунктов следует предусматривать единую систему транспорта и улично-дорожной сети в увязке с планировочной структурой и прилегающей к нему территориями, обеспечивающие удобные, быстрые и безопасные транспортные связи со всеми функциональными зонами, с другими населенными пунктами системы расселения, объектами, расположенными в пригородной зоне, объектами внешнего транспорта и автомобильными дорогами общей транспортной сети.</w:t>
      </w:r>
    </w:p>
    <w:p>
      <w:pPr>
        <w:spacing w:after="120"/>
        <w:ind w:firstLine="397"/>
        <w:jc w:val="both"/>
      </w:pPr>
      <w:r>
        <w:rPr>
          <w:rFonts w:ascii="Arial" w:cs="Arial" w:eastAsia="Arial" w:hAnsi="Arial"/>
          <w:sz w:val="24"/>
          <w:szCs w:val="24"/>
        </w:rPr>
        <w:t xml:space="preserve">9.2. Затраты времени в городах на передвижение от мест проживания до мест работы для 90% трудящихся (в один конец) не должны превышать, мин, для городов с населением, тыс. чел.:</w:t>
      </w:r>
    </w:p>
    <w:p>
      <w:pPr>
        <w:spacing w:after="120"/>
        <w:ind w:firstLine="397"/>
        <w:jc w:val="both"/>
      </w:pPr>
      <w:r>
        <w:rPr>
          <w:rFonts w:ascii="Arial" w:cs="Arial" w:eastAsia="Arial" w:hAnsi="Arial"/>
          <w:sz w:val="24"/>
          <w:szCs w:val="24"/>
        </w:rPr>
        <w:t xml:space="preserve">1000        40</w:t>
      </w:r>
    </w:p>
    <w:p>
      <w:pPr>
        <w:spacing w:after="120"/>
        <w:ind w:firstLine="397"/>
        <w:jc w:val="both"/>
      </w:pPr>
      <w:r>
        <w:rPr>
          <w:rFonts w:ascii="Arial" w:cs="Arial" w:eastAsia="Arial" w:hAnsi="Arial"/>
          <w:sz w:val="24"/>
          <w:szCs w:val="24"/>
        </w:rPr>
        <w:t xml:space="preserve">500          37</w:t>
      </w:r>
    </w:p>
    <w:p>
      <w:pPr>
        <w:spacing w:after="120"/>
        <w:ind w:firstLine="397"/>
        <w:jc w:val="both"/>
      </w:pPr>
      <w:r>
        <w:rPr>
          <w:rFonts w:ascii="Arial" w:cs="Arial" w:eastAsia="Arial" w:hAnsi="Arial"/>
          <w:sz w:val="24"/>
          <w:szCs w:val="24"/>
        </w:rPr>
        <w:t xml:space="preserve">250          35</w:t>
      </w:r>
    </w:p>
    <w:p>
      <w:pPr>
        <w:spacing w:after="120"/>
        <w:ind w:firstLine="397"/>
        <w:jc w:val="both"/>
      </w:pPr>
      <w:r>
        <w:rPr>
          <w:rFonts w:ascii="Arial" w:cs="Arial" w:eastAsia="Arial" w:hAnsi="Arial"/>
          <w:sz w:val="24"/>
          <w:szCs w:val="24"/>
        </w:rPr>
        <w:t xml:space="preserve">100 и менее      30</w:t>
      </w:r>
    </w:p>
    <w:p>
      <w:pPr>
        <w:spacing w:after="120"/>
        <w:ind w:firstLine="397"/>
        <w:jc w:val="both"/>
      </w:pPr>
      <w:r>
        <w:rPr>
          <w:rFonts w:ascii="Arial" w:cs="Arial" w:eastAsia="Arial" w:hAnsi="Arial"/>
          <w:sz w:val="24"/>
          <w:szCs w:val="24"/>
        </w:rPr>
        <w:t xml:space="preserve">Для ежедневно приезжающих на работу в город-центр из других населенных пунктов указанные нормы затрат времени допускается увеличивать, но не более чем в 2 раза.</w:t>
      </w:r>
    </w:p>
    <w:p>
      <w:pPr>
        <w:spacing w:after="120"/>
        <w:ind w:firstLine="397"/>
        <w:jc w:val="both"/>
      </w:pPr>
      <w:r>
        <w:rPr>
          <w:rFonts w:ascii="Arial" w:cs="Arial" w:eastAsia="Arial" w:hAnsi="Arial"/>
          <w:sz w:val="24"/>
          <w:szCs w:val="24"/>
        </w:rPr>
        <w:t xml:space="preserve">9.3. 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на расчетный срок, автомобилей на 1000 чел.: 250-400 легковых автомобилей, 25-40 грузовых автомобилей. Число мотоциклов и мопедов на 1000 чел. следует принимать 50-100 единиц для городов с населением свыше 100 тыс. чел. и 100-150 единиц для других населенных пунктов, с населением менее 100 тыс.жителей.</w:t>
      </w:r>
    </w:p>
    <w:p>
      <w:pPr>
        <w:spacing w:after="120"/>
        <w:ind w:firstLine="397"/>
        <w:jc w:val="both"/>
      </w:pPr>
      <w:r>
        <w:rPr>
          <w:rFonts w:ascii="Arial" w:cs="Arial" w:eastAsia="Arial" w:hAnsi="Arial"/>
          <w:sz w:val="24"/>
          <w:szCs w:val="24"/>
        </w:rPr>
        <w:t xml:space="preserve">Число автомобилей, прибывающих в город-центр из других населенных пунктов системы расселения, и транзитных авто определяется специальным расчетом.</w:t>
      </w:r>
    </w:p>
    <w:p>
      <w:pPr>
        <w:spacing w:after="120"/>
        <w:ind w:firstLine="397"/>
        <w:jc w:val="both"/>
      </w:pPr>
      <w:r>
        <w:rPr>
          <w:rFonts w:ascii="Arial" w:cs="Arial" w:eastAsia="Arial" w:hAnsi="Arial"/>
          <w:sz w:val="24"/>
          <w:szCs w:val="24"/>
        </w:rPr>
        <w:t xml:space="preserve">Указанный уровень автомобилизации допускается уменьшать или увеличивать в зависимости от местных условий, но не более чем на 20%.</w:t>
      </w:r>
    </w:p>
    <w:p>
      <w:pPr>
        <w:spacing w:after="240" w:before="200"/>
        <w:jc w:val="center"/>
      </w:pPr>
      <w:r>
        <w:rPr>
          <w:rFonts w:ascii="Arial" w:cs="Arial" w:eastAsia="Arial" w:hAnsi="Arial"/>
          <w:b/>
          <w:bCs/>
          <w:sz w:val="32"/>
          <w:szCs w:val="32"/>
        </w:rPr>
        <w:t xml:space="preserve">Внешний транспорт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Пассажирские вокзалы (железнодорожного, автомобильного, водного транспорта и аэровокзалы) следует размещать, обеспечивая транспортные связи с центром города, между вокзалами, с жилыми и промышленными районами. Допускается предусматривать объединенные или совмещенные пассажирские вокзалы для двух и более видов транспорта.</w:t>
      </w:r>
    </w:p>
    <w:p>
      <w:pPr>
        <w:spacing w:after="120"/>
        <w:ind w:firstLine="397"/>
        <w:jc w:val="both"/>
      </w:pPr>
      <w:r>
        <w:rPr>
          <w:rFonts w:ascii="Arial" w:cs="Arial" w:eastAsia="Arial" w:hAnsi="Arial"/>
          <w:sz w:val="24"/>
          <w:szCs w:val="24"/>
        </w:rPr>
        <w:t xml:space="preserve">9.5. Новые сортировочные станции общей сети железных дорог следует размещать за пределами городов, а технические пассажирские станции,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pPr>
        <w:spacing w:after="120"/>
        <w:ind w:firstLine="397"/>
        <w:jc w:val="both"/>
      </w:pPr>
      <w:r>
        <w:rPr>
          <w:rFonts w:ascii="Arial" w:cs="Arial" w:eastAsia="Arial" w:hAnsi="Arial"/>
          <w:sz w:val="24"/>
          <w:szCs w:val="24"/>
        </w:rPr>
        <w:t xml:space="preserve">9.6. В пригородных зонах крупных и крупнейших городов для пропуска транзитных поездов следует предусматривать обходные линии с размещением на них сортировочных и грузовых станций общеузлового значения. На головных участках железных дорог при интенсивности пригородного и внутригородского пассажирского движения более 10 пар поездов в час следует предусматривать дополнительные пути, а при необходимости - устройство в городах глубоких железнодорожных вводов или диаметров с обеспечением их взаимодействия с городскими скоростными транспортами.</w:t>
      </w:r>
    </w:p>
    <w:p>
      <w:pPr>
        <w:spacing w:after="120"/>
        <w:ind w:firstLine="397"/>
        <w:jc w:val="both"/>
      </w:pPr>
      <w:r>
        <w:rPr>
          <w:rFonts w:ascii="Arial" w:cs="Arial" w:eastAsia="Arial" w:hAnsi="Arial"/>
          <w:sz w:val="24"/>
          <w:szCs w:val="24"/>
        </w:rPr>
        <w:t xml:space="preserve">9.7.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w:t>
      </w:r>
    </w:p>
    <w:p>
      <w:pPr>
        <w:spacing w:after="120"/>
        <w:ind w:firstLine="397"/>
        <w:jc w:val="both"/>
      </w:pPr>
      <w:r>
        <w:rPr>
          <w:rFonts w:ascii="Arial" w:cs="Arial" w:eastAsia="Arial" w:hAnsi="Arial"/>
          <w:sz w:val="24"/>
          <w:szCs w:val="24"/>
        </w:rPr>
        <w:t xml:space="preserve">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9.8. Жилую застройку необходимо отделять от железных дорог санитарно-защитной зоной шириной 100 м, считая от оси крайнего железнодорожного пути. При размещении железных дорог в выемке или при осуществлении специальных шумозащитных мероприятий, ширина санитарно-защитной зоны уменьшается, но не более чем на 50 м. 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w:t>
      </w:r>
    </w:p>
    <w:p>
      <w:pPr>
        <w:spacing w:after="120"/>
        <w:ind w:firstLine="397"/>
        <w:jc w:val="both"/>
      </w:pPr>
      <w:r>
        <w:rPr>
          <w:rFonts w:ascii="Arial" w:cs="Arial" w:eastAsia="Arial" w:hAnsi="Arial"/>
          <w:sz w:val="24"/>
          <w:szCs w:val="24"/>
        </w:rPr>
        <w:t xml:space="preserve">В санитарно-защитной зоне,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 Ширину санитарно-защитной зоны до границ садовых участков следует принимать не менее 50 м.</w:t>
      </w:r>
    </w:p>
    <w:p>
      <w:pPr>
        <w:spacing w:after="120"/>
        <w:ind w:firstLine="397"/>
        <w:jc w:val="both"/>
      </w:pPr>
      <w:r>
        <w:rPr>
          <w:rFonts w:ascii="Arial" w:cs="Arial" w:eastAsia="Arial" w:hAnsi="Arial"/>
          <w:sz w:val="24"/>
          <w:szCs w:val="24"/>
        </w:rPr>
        <w:t xml:space="preserve">9.9. Автомобильные дороги общей сети I, II, III категорий, следует проектировать в обход населенных пунктов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В случае проложения дорог общей сети через территорию населенных пунктов их следует проектировать с учетом требований настоящего свода правил.</w:t>
      </w:r>
    </w:p>
    <w:p>
      <w:pPr>
        <w:spacing w:after="120"/>
        <w:ind w:firstLine="397"/>
        <w:jc w:val="both"/>
      </w:pPr>
      <w:r>
        <w:rPr>
          <w:rFonts w:ascii="Arial" w:cs="Arial" w:eastAsia="Arial" w:hAnsi="Arial"/>
          <w:sz w:val="24"/>
          <w:szCs w:val="24"/>
        </w:rPr>
        <w:t xml:space="preserve">9.10. Автомобильные дороги в пригородной зоне, являющиеся продолжением городских магистралей и обеспечивающие пропуск неравномерных по направлениям транспортных потоков из города-центра к загородным зонам массового отдыха, аэропортам и другим населенным пунктам в системе расселения, следует проектировать с учетом реверсивного движения, принимая, ширину основной проезжей части в соответствии с наибольшими часовыми автомобильными потоками.</w:t>
      </w:r>
    </w:p>
    <w:p>
      <w:pPr>
        <w:spacing w:after="120"/>
        <w:ind w:firstLine="397"/>
        <w:jc w:val="both"/>
      </w:pPr>
      <w:r>
        <w:rPr>
          <w:rFonts w:ascii="Arial" w:cs="Arial" w:eastAsia="Arial" w:hAnsi="Arial"/>
          <w:sz w:val="24"/>
          <w:szCs w:val="24"/>
        </w:rPr>
        <w:t xml:space="preserve">Категории и параметры автомобильных дорог в пределах пригородных зон городов (систем расселения) следует принимать в соответствии с рекомендуемым приложением 7 настоящего свода правил.</w:t>
      </w:r>
    </w:p>
    <w:p>
      <w:pPr>
        <w:spacing w:after="120"/>
        <w:ind w:firstLine="397"/>
        <w:jc w:val="both"/>
      </w:pPr>
      <w:r>
        <w:rPr>
          <w:rFonts w:ascii="Arial" w:cs="Arial" w:eastAsia="Arial" w:hAnsi="Arial"/>
          <w:sz w:val="24"/>
          <w:szCs w:val="24"/>
        </w:rPr>
        <w:t xml:space="preserve">9.11. Аэродромы следует размещать в соответствии с действующими в строительстве нормативно-техническими документами на расстоянии от селитебной территории и зон массового отдыха населения, обеспечивающем безопасность полетов и допустимые уровни авиационного шума и электромагнитного излучения, установленные для селитебных территорий санитарными нормами.</w:t>
      </w:r>
    </w:p>
    <w:p>
      <w:pPr>
        <w:spacing w:after="120"/>
        <w:ind w:firstLine="397"/>
        <w:jc w:val="both"/>
      </w:pPr>
      <w:r>
        <w:rPr>
          <w:rFonts w:ascii="Arial" w:cs="Arial" w:eastAsia="Arial" w:hAnsi="Arial"/>
          <w:sz w:val="24"/>
          <w:szCs w:val="24"/>
        </w:rPr>
        <w:t xml:space="preserve">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pPr>
        <w:spacing w:after="120"/>
        <w:ind w:firstLine="397"/>
        <w:jc w:val="both"/>
      </w:pPr>
      <w:r>
        <w:rPr>
          <w:rFonts w:ascii="Arial" w:cs="Arial" w:eastAsia="Arial" w:hAnsi="Arial"/>
          <w:sz w:val="24"/>
          <w:szCs w:val="24"/>
        </w:rPr>
        <w:t xml:space="preserve">9.12. Размещение в районах аэродромов зданий, высоковольтных линий электропередачи, радиотехнических и других сооружений, которые могут угрожать безопасности полетов воздушных судов или создавать помехи для нормальной работы навигационных средств аэродромов, должно быть согласовано с предприятиями и организациями, в ведении которых находятся аэродромы. Требования по согласованию размещения объектов приведены в обязательном приложении 2.</w:t>
      </w:r>
    </w:p>
    <w:p>
      <w:pPr>
        <w:spacing w:after="120"/>
        <w:ind w:firstLine="397"/>
        <w:jc w:val="both"/>
      </w:pPr>
      <w:r>
        <w:rPr>
          <w:rFonts w:ascii="Arial" w:cs="Arial" w:eastAsia="Arial" w:hAnsi="Arial"/>
          <w:sz w:val="24"/>
          <w:szCs w:val="24"/>
        </w:rPr>
        <w:t xml:space="preserve">9.13. Морские и озерные порты следует размещать за пределами селитебных территорий на расстоянии от жилой застройки не менее 100 м. При этом, следует:</w:t>
      </w:r>
    </w:p>
    <w:p>
      <w:pPr>
        <w:spacing w:after="120"/>
        <w:ind w:firstLine="397"/>
        <w:jc w:val="both"/>
      </w:pPr>
      <w:r>
        <w:rPr>
          <w:rFonts w:ascii="Arial" w:cs="Arial" w:eastAsia="Arial" w:hAnsi="Arial"/>
          <w:sz w:val="24"/>
          <w:szCs w:val="24"/>
        </w:rPr>
        <w:t xml:space="preserve">9.13.1. На территории морских портов следует предусматривать съезды к воде и площадки для забора воды пожарными автомашинами.</w:t>
      </w:r>
    </w:p>
    <w:p>
      <w:pPr>
        <w:spacing w:after="120"/>
        <w:ind w:firstLine="397"/>
        <w:jc w:val="both"/>
      </w:pPr>
      <w:r>
        <w:rPr>
          <w:rFonts w:ascii="Arial" w:cs="Arial" w:eastAsia="Arial" w:hAnsi="Arial"/>
          <w:sz w:val="24"/>
          <w:szCs w:val="24"/>
        </w:rPr>
        <w:t xml:space="preserve">9.13.2. В портах с малым грузооборотом пассажирский и грузовой районы допускается объединять в один грузопассажирский.</w:t>
      </w:r>
    </w:p>
    <w:p>
      <w:pPr>
        <w:spacing w:after="120"/>
        <w:ind w:firstLine="397"/>
        <w:jc w:val="both"/>
      </w:pPr>
      <w:r>
        <w:rPr>
          <w:rFonts w:ascii="Arial" w:cs="Arial" w:eastAsia="Arial" w:hAnsi="Arial"/>
          <w:sz w:val="24"/>
          <w:szCs w:val="24"/>
        </w:rPr>
        <w:t xml:space="preserve">9.13.3. Береговые базы и места стоянки маломерных судов, принадлежащих спортивным клубам и отдельным гражданам, следует размещать в пригородных зонах, а в пределах городов - вне селитебной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Сеть улиц и дорог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9.14. Улично-дорожную сеть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магистрального и местного значения, а также главные улицы. Категории улиц и дорог городов следует назначать в соответствии с классификацией, приведенной в таблице 6.</w:t>
      </w:r>
    </w:p>
    <w:p>
      <w:pPr>
        <w:spacing w:after="120"/>
        <w:ind w:firstLine="397"/>
        <w:jc w:val="both"/>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2"/>
        <w:gridCol w:w="5906"/>
      </w:tblGrid>
      <w:tr>
        <w:tc>
          <w:tcPr>
            <w:tcW w:type="dxa" w:w="42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дорог и улиц</w:t>
            </w:r>
          </w:p>
        </w:tc>
        <w:tc>
          <w:tcPr>
            <w:tcW w:type="dxa" w:w="59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Основное назначение дорог и улиц</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дороги:</w:t>
            </w:r>
          </w:p>
          <w:p>
            <w:pPr>
              <w:jc w:val="both"/>
            </w:pPr>
            <w:r>
              <w:rPr>
                <w:rFonts w:ascii="Arial" w:cs="Arial" w:eastAsia="Arial" w:hAnsi="Arial"/>
                <w:sz w:val="24"/>
                <w:szCs w:val="24"/>
              </w:rPr>
              <w:t xml:space="preserve">скоростного движения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Скоростная транспортная связь между удаленными промышленными и планировочными районами в крупнейших и крупных городах; выходы на внешние автомобильные дороги, к аэропортам, крупным зонам массового отдыха и населенным местам в системе расселения. Пересечение с магистральными улицами и дорогами в разных уровнях.</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регулируемого движения</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между районами города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в одном уровне.</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улицы:</w:t>
            </w:r>
          </w:p>
          <w:p>
            <w:pPr>
              <w:jc w:val="both"/>
            </w:pPr>
            <w:r>
              <w:rPr>
                <w:rFonts w:ascii="Arial" w:cs="Arial" w:eastAsia="Arial" w:hAnsi="Arial"/>
                <w:sz w:val="24"/>
                <w:szCs w:val="24"/>
              </w:rPr>
              <w:t xml:space="preserve">общегородского</w:t>
            </w:r>
          </w:p>
          <w:p>
            <w:pPr>
              <w:jc w:val="both"/>
            </w:pPr>
            <w:r>
              <w:rPr>
                <w:rFonts w:ascii="Arial" w:cs="Arial" w:eastAsia="Arial" w:hAnsi="Arial"/>
                <w:sz w:val="24"/>
                <w:szCs w:val="24"/>
              </w:rPr>
              <w:t xml:space="preserve">назначения:</w:t>
            </w:r>
          </w:p>
          <w:p>
            <w:pPr>
              <w:jc w:val="both"/>
            </w:pPr>
            <w:r>
              <w:rPr>
                <w:rFonts w:ascii="Arial" w:cs="Arial" w:eastAsia="Arial" w:hAnsi="Arial"/>
                <w:sz w:val="24"/>
                <w:szCs w:val="24"/>
              </w:rPr>
              <w:t xml:space="preserve">непрерывного</w:t>
            </w:r>
          </w:p>
          <w:p>
            <w:pPr>
              <w:jc w:val="both"/>
            </w:pPr>
            <w:r>
              <w:rPr>
                <w:rFonts w:ascii="Arial" w:cs="Arial" w:eastAsia="Arial" w:hAnsi="Arial"/>
                <w:sz w:val="24"/>
                <w:szCs w:val="24"/>
              </w:rPr>
              <w:t xml:space="preserve">движения</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между жилыми, промышленными районами и общественными центрами в крупнейших, крупных и больших городах,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регулируемого движения</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между жилыми, промышленными районами и центром города, центрами планировочных районов; выходы на магистральные улицы и дороги и внешние автомобильные дороги.</w:t>
            </w:r>
          </w:p>
          <w:p>
            <w:pPr>
              <w:jc w:val="both"/>
            </w:pPr>
            <w:r>
              <w:rPr>
                <w:rFonts w:ascii="Arial" w:cs="Arial" w:eastAsia="Arial" w:hAnsi="Arial"/>
                <w:sz w:val="24"/>
                <w:szCs w:val="24"/>
              </w:rPr>
              <w:t xml:space="preserve">Пересечение с магистральными улицами и дорогами, в одном уровне.</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районного значения:</w:t>
            </w:r>
          </w:p>
          <w:p>
            <w:pPr>
              <w:jc w:val="both"/>
            </w:pPr>
            <w:r>
              <w:rPr>
                <w:rFonts w:ascii="Arial" w:cs="Arial" w:eastAsia="Arial" w:hAnsi="Arial"/>
                <w:sz w:val="24"/>
                <w:szCs w:val="24"/>
              </w:rPr>
              <w:t xml:space="preserve">транспортно-</w:t>
            </w:r>
          </w:p>
          <w:p>
            <w:pPr>
              <w:jc w:val="both"/>
            </w:pPr>
            <w:r>
              <w:rPr>
                <w:rFonts w:ascii="Arial" w:cs="Arial" w:eastAsia="Arial" w:hAnsi="Arial"/>
                <w:sz w:val="24"/>
                <w:szCs w:val="24"/>
              </w:rPr>
              <w:t xml:space="preserve">пешеходные</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Транспортно-пешеходная связь между жилыми районами, а также между жилыми и промышленными районами, общественными центрами, выходы на другие магистральные улицы.</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пешеходно-</w:t>
            </w:r>
          </w:p>
          <w:p>
            <w:pPr>
              <w:jc w:val="both"/>
            </w:pPr>
            <w:r>
              <w:rPr>
                <w:rFonts w:ascii="Arial" w:cs="Arial" w:eastAsia="Arial" w:hAnsi="Arial"/>
                <w:sz w:val="24"/>
                <w:szCs w:val="24"/>
              </w:rPr>
              <w:t xml:space="preserve">транспортные</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Пешеходная и транспортная связь (преимущественно общественный пассажирский транспорт) в пределах планировочного района.</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Улицы и дороги местного значения: улицы в жилой застройке</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(без пропуска грузового и общественного транспорта) и пешеходные связи на территории жилых районов (микрорайонов), выходы на магистральные улицы и дороги регулируемого движения.</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улицы и дороги в научно- производственных, про-мышленных и комму-нально-складских зонах</w:t>
            </w:r>
          </w:p>
          <w:p>
            <w:pPr>
              <w:jc w:val="both"/>
            </w:pPr>
            <w:r>
              <w:rPr>
                <w:rFonts w:ascii="Arial" w:cs="Arial" w:eastAsia="Arial" w:hAnsi="Arial"/>
                <w:sz w:val="24"/>
                <w:szCs w:val="24"/>
              </w:rPr>
              <w:t xml:space="preserve">(районах)</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преимущественно легкового и грузового транспорта в пределах зон (районов), выходы на магистральные городские дороги. Пересечения с улицами и дорогами устраиваются в одном уровне.</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пешеходные улицы </w:t>
            </w:r>
          </w:p>
          <w:p>
            <w:pPr>
              <w:jc w:val="both"/>
            </w:pPr>
            <w:r>
              <w:rPr>
                <w:rFonts w:ascii="Arial" w:cs="Arial" w:eastAsia="Arial" w:hAnsi="Arial"/>
                <w:sz w:val="24"/>
                <w:szCs w:val="24"/>
              </w:rPr>
              <w:t xml:space="preserve">и дороги</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парковые дороги</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в пределах территории парков и лесопарков преимущественно для движения легковых автомобилей.</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проезды</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велосипедные дорожки</w:t>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Проезд на велосипедах по свободным от других видов</w:t>
            </w:r>
          </w:p>
          <w:p>
            <w:pPr>
              <w:jc w:val="both"/>
            </w:pPr>
            <w:r>
              <w:rPr>
                <w:rFonts w:ascii="Arial" w:cs="Arial" w:eastAsia="Arial" w:hAnsi="Arial"/>
                <w:sz w:val="24"/>
                <w:szCs w:val="24"/>
              </w:rPr>
              <w:t xml:space="preserve">транспортного движения трассам приложения труда и к местам отдыха, общественным центрам, а в крупнейших и крупных городах – связь в пределах планировочных районов.</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w:t>
      </w:r>
    </w:p>
    <w:p>
      <w:pPr>
        <w:spacing w:after="120"/>
        <w:ind w:firstLine="397"/>
        <w:jc w:val="both"/>
      </w:pPr>
      <w:r>
        <w:rPr>
          <w:rFonts w:ascii="Arial" w:cs="Arial" w:eastAsia="Arial" w:hAnsi="Arial"/>
          <w:sz w:val="24"/>
          <w:szCs w:val="24"/>
        </w:rPr>
        <w:t xml:space="preserve">9.14.1. Расстояние от края основной проезжей части магистральных дорог до красной линии и линии регулирования жилой застройки следует принимать не менее 25 м. </w:t>
      </w:r>
    </w:p>
    <w:p>
      <w:pPr>
        <w:spacing w:after="120"/>
        <w:ind w:firstLine="397"/>
        <w:jc w:val="both"/>
      </w:pPr>
      <w:r>
        <w:rPr>
          <w:rFonts w:ascii="Arial" w:cs="Arial" w:eastAsia="Arial" w:hAnsi="Arial"/>
          <w:sz w:val="24"/>
          <w:szCs w:val="24"/>
        </w:rPr>
        <w:t xml:space="preserve">9.14.2. Главные улицы, выделяются из состава транспортно-пешеходных, пешеходно-транспортных и пешеходных улиц и являются основой архитектурно-планировочного построения общегородского центра.</w:t>
      </w:r>
    </w:p>
    <w:p>
      <w:pPr>
        <w:spacing w:after="120"/>
        <w:ind w:firstLine="397"/>
        <w:jc w:val="both"/>
      </w:pPr>
      <w:r>
        <w:rPr>
          <w:rFonts w:ascii="Arial" w:cs="Arial" w:eastAsia="Arial" w:hAnsi="Arial"/>
          <w:sz w:val="24"/>
          <w:szCs w:val="24"/>
        </w:rPr>
        <w:t xml:space="preserve">9.14.3. В зависимости от величины и планировочной структуры городов, объемов движения указанные основные категории улиц и дорог допускается дополнять или применять их неполный состав. Если расчетные затраты времени на трудовые передвижения превышают установленные настоящими нормами, допускается при наличии специальных обоснований применять категории магистральных улиц и дорог, приведенные в настоящей таблице для групп городов с большей численностью населения.</w:t>
      </w:r>
    </w:p>
    <w:p>
      <w:pPr>
        <w:spacing w:after="120"/>
        <w:ind w:firstLine="397"/>
        <w:jc w:val="both"/>
      </w:pPr>
      <w:r>
        <w:rPr>
          <w:rFonts w:ascii="Arial" w:cs="Arial" w:eastAsia="Arial" w:hAnsi="Arial"/>
          <w:sz w:val="24"/>
          <w:szCs w:val="24"/>
        </w:rPr>
        <w:t xml:space="preserve">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троллейбусно-пешеходного или автобусно-пешеходного движений.</w:t>
      </w:r>
    </w:p>
    <w:p>
      <w:pPr>
        <w:spacing w:after="120"/>
        <w:ind w:firstLine="397"/>
        <w:jc w:val="both"/>
      </w:pPr>
      <w:r>
        <w:rPr>
          <w:rFonts w:ascii="Arial" w:cs="Arial" w:eastAsia="Arial" w:hAnsi="Arial"/>
          <w:sz w:val="24"/>
          <w:szCs w:val="24"/>
        </w:rPr>
        <w:t xml:space="preserve">В исторических городах следует предусматривать исключение или сокращение объемов движения наземного транспорта через территорию исторического ядра общегородского центра: устройство обходных магистральных улиц, улиц с ограниченным движением транспорта, пешеходных улиц и зон; размещение стоянок автомобилей преимущественно по периметру этого ядра.</w:t>
      </w:r>
    </w:p>
    <w:p>
      <w:pPr>
        <w:spacing w:after="120"/>
        <w:ind w:firstLine="397"/>
        <w:jc w:val="both"/>
      </w:pPr>
      <w:r>
        <w:rPr>
          <w:rFonts w:ascii="Arial" w:cs="Arial" w:eastAsia="Arial" w:hAnsi="Arial"/>
          <w:sz w:val="24"/>
          <w:szCs w:val="24"/>
        </w:rPr>
        <w:t xml:space="preserve">9.15. Расчетные параметры улиц и дорог городов следует принимать по таблице 7.</w:t>
      </w:r>
    </w:p>
    <w:p>
      <w:pPr>
        <w:spacing w:after="120"/>
        <w:ind w:firstLine="397"/>
        <w:jc w:val="both"/>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1088"/>
        <w:gridCol w:w="1230"/>
        <w:gridCol w:w="954"/>
        <w:gridCol w:w="1088"/>
        <w:gridCol w:w="1507"/>
        <w:gridCol w:w="971"/>
      </w:tblGrid>
      <w:tr>
        <w:tc>
          <w:tcPr>
            <w:tcW w:type="dxa" w:w="334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Категория дорог и улиц</w:t>
            </w:r>
          </w:p>
        </w:tc>
        <w:tc>
          <w:tcPr>
            <w:tcW w:type="dxa" w:w="10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Расчет-ная ско- рость движе- ния, км/ч</w:t>
            </w:r>
          </w:p>
        </w:tc>
        <w:tc>
          <w:tcPr>
            <w:tcW w:type="dxa" w:w="12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полосы движе- ния,</w:t>
            </w:r>
          </w:p>
          <w:p>
            <w:pPr>
              <w:jc w:val="both"/>
            </w:pPr>
            <w:r>
              <w:rPr>
                <w:rFonts w:ascii="Arial" w:cs="Arial" w:eastAsia="Arial" w:hAnsi="Arial"/>
                <w:sz w:val="24"/>
                <w:szCs w:val="24"/>
              </w:rPr>
              <w:t xml:space="preserve">м</w:t>
            </w:r>
          </w:p>
        </w:tc>
        <w:tc>
          <w:tcPr>
            <w:tcW w:type="dxa" w:w="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Число полос дви- жения</w:t>
            </w:r>
          </w:p>
        </w:tc>
        <w:tc>
          <w:tcPr>
            <w:tcW w:type="dxa" w:w="10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Наиме-ньший радиус кривых в плане, м</w:t>
            </w:r>
          </w:p>
        </w:tc>
        <w:tc>
          <w:tcPr>
            <w:tcW w:type="dxa" w:w="15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Наибольший про- дольный уклон, %.</w:t>
            </w:r>
          </w:p>
        </w:tc>
        <w:tc>
          <w:tcPr>
            <w:tcW w:type="dxa" w:w="9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пеше- ходной части тро- туара,м</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дороги: </w:t>
            </w:r>
          </w:p>
          <w:p>
            <w:pPr>
              <w:jc w:val="both"/>
            </w:pPr>
            <w:r>
              <w:rPr>
                <w:rFonts w:ascii="Arial" w:cs="Arial" w:eastAsia="Arial" w:hAnsi="Arial"/>
                <w:sz w:val="24"/>
                <w:szCs w:val="24"/>
              </w:rPr>
              <w:t xml:space="preserve"> Скоростного движения </w:t>
            </w:r>
          </w:p>
          <w:p>
            <w:pPr>
              <w:jc w:val="both"/>
            </w:pPr>
            <w:r>
              <w:rPr>
                <w:rFonts w:ascii="Arial" w:cs="Arial" w:eastAsia="Arial" w:hAnsi="Arial"/>
                <w:sz w:val="24"/>
                <w:szCs w:val="24"/>
              </w:rPr>
              <w:t xml:space="preserve"> Регулируемого движения</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w:t>
            </w:r>
          </w:p>
          <w:p>
            <w:pPr>
              <w:jc w:val="both"/>
            </w:pPr>
            <w:r>
              <w:rPr>
                <w:rFonts w:ascii="Arial" w:cs="Arial" w:eastAsia="Arial" w:hAnsi="Arial"/>
                <w:sz w:val="24"/>
                <w:szCs w:val="24"/>
              </w:rPr>
              <w:t xml:space="preserve">80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3,00-3,50</w:t>
            </w:r>
          </w:p>
          <w:p>
            <w:pPr>
              <w:jc w:val="both"/>
            </w:pPr>
            <w:r>
              <w:rPr>
                <w:rFonts w:ascii="Arial" w:cs="Arial" w:eastAsia="Arial" w:hAnsi="Arial"/>
                <w:sz w:val="24"/>
                <w:szCs w:val="24"/>
              </w:rPr>
              <w:t xml:space="preserve">3,00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4-8</w:t>
            </w:r>
          </w:p>
          <w:p>
            <w:pPr>
              <w:jc w:val="both"/>
            </w:pPr>
            <w:r>
              <w:rPr>
                <w:rFonts w:ascii="Arial" w:cs="Arial" w:eastAsia="Arial" w:hAnsi="Arial"/>
                <w:sz w:val="24"/>
                <w:szCs w:val="24"/>
              </w:rPr>
              <w:t xml:space="preserve">2-6</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600</w:t>
            </w:r>
          </w:p>
          <w:p>
            <w:pPr>
              <w:jc w:val="both"/>
            </w:pPr>
            <w:r>
              <w:rPr>
                <w:rFonts w:ascii="Arial" w:cs="Arial" w:eastAsia="Arial" w:hAnsi="Arial"/>
                <w:sz w:val="24"/>
                <w:szCs w:val="24"/>
              </w:rPr>
              <w:t xml:space="preserve">400</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50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улицы:</w:t>
            </w:r>
          </w:p>
          <w:p>
            <w:pPr>
              <w:jc w:val="both"/>
            </w:pPr>
            <w:r>
              <w:rPr>
                <w:rFonts w:ascii="Arial" w:cs="Arial" w:eastAsia="Arial" w:hAnsi="Arial"/>
                <w:sz w:val="24"/>
                <w:szCs w:val="24"/>
              </w:rPr>
              <w:t xml:space="preserve">Общегородского назначения:</w:t>
            </w:r>
          </w:p>
          <w:p>
            <w:pPr>
              <w:jc w:val="both"/>
            </w:pPr>
            <w:r>
              <w:rPr>
                <w:rFonts w:ascii="Arial" w:cs="Arial" w:eastAsia="Arial" w:hAnsi="Arial"/>
                <w:sz w:val="24"/>
                <w:szCs w:val="24"/>
              </w:rPr>
              <w:t xml:space="preserve"> непрерывного движения</w:t>
            </w:r>
          </w:p>
          <w:p>
            <w:pPr>
              <w:jc w:val="both"/>
            </w:pPr>
            <w:r>
              <w:rPr>
                <w:rFonts w:ascii="Arial" w:cs="Arial" w:eastAsia="Arial" w:hAnsi="Arial"/>
                <w:sz w:val="24"/>
                <w:szCs w:val="24"/>
              </w:rPr>
              <w:t xml:space="preserve"> регулируемого движения </w:t>
            </w:r>
          </w:p>
          <w:p>
            <w:pPr>
              <w:jc w:val="both"/>
            </w:pPr>
            <w:r>
              <w:rPr>
                <w:rFonts w:ascii="Arial" w:cs="Arial" w:eastAsia="Arial" w:hAnsi="Arial"/>
                <w:sz w:val="24"/>
                <w:szCs w:val="24"/>
              </w:rPr>
              <w:t xml:space="preserve">районного значения:</w:t>
            </w:r>
          </w:p>
          <w:p>
            <w:pPr>
              <w:jc w:val="both"/>
            </w:pPr>
            <w:r>
              <w:rPr>
                <w:rFonts w:ascii="Arial" w:cs="Arial" w:eastAsia="Arial" w:hAnsi="Arial"/>
                <w:sz w:val="24"/>
                <w:szCs w:val="24"/>
              </w:rPr>
              <w:t xml:space="preserve"> транспортно-</w:t>
            </w:r>
          </w:p>
          <w:p>
            <w:pPr>
              <w:jc w:val="both"/>
            </w:pPr>
            <w:r>
              <w:rPr>
                <w:rFonts w:ascii="Arial" w:cs="Arial" w:eastAsia="Arial" w:hAnsi="Arial"/>
                <w:sz w:val="24"/>
                <w:szCs w:val="24"/>
              </w:rPr>
              <w:t xml:space="preserve">пешеходные</w:t>
            </w:r>
          </w:p>
          <w:p>
            <w:pPr>
              <w:jc w:val="both"/>
            </w:pPr>
            <w:r>
              <w:rPr>
                <w:rFonts w:ascii="Arial" w:cs="Arial" w:eastAsia="Arial" w:hAnsi="Arial"/>
                <w:sz w:val="24"/>
                <w:szCs w:val="24"/>
              </w:rPr>
              <w:t xml:space="preserve"/>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3,00-3,50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4-8</w:t>
            </w:r>
          </w:p>
          <w:p>
            <w:pPr>
              <w:jc w:val="both"/>
            </w:pPr>
            <w:r>
              <w:rPr>
                <w:rFonts w:ascii="Arial" w:cs="Arial" w:eastAsia="Arial" w:hAnsi="Arial"/>
                <w:sz w:val="24"/>
                <w:szCs w:val="24"/>
              </w:rPr>
              <w:t xml:space="preserve">4-8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400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125</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w:t>
            </w:r>
          </w:p>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Улицы и дороги местного значения:</w:t>
            </w:r>
          </w:p>
          <w:p>
            <w:pPr>
              <w:jc w:val="both"/>
            </w:pPr>
            <w:r>
              <w:rPr>
                <w:rFonts w:ascii="Arial" w:cs="Arial" w:eastAsia="Arial" w:hAnsi="Arial"/>
                <w:sz w:val="24"/>
                <w:szCs w:val="24"/>
              </w:rPr>
              <w:t xml:space="preserve"> Улицы в жилой застройке</w:t>
            </w:r>
          </w:p>
          <w:p>
            <w:pPr>
              <w:jc w:val="both"/>
            </w:pPr>
            <w:r>
              <w:rPr>
                <w:rFonts w:ascii="Arial" w:cs="Arial" w:eastAsia="Arial" w:hAnsi="Arial"/>
                <w:sz w:val="24"/>
                <w:szCs w:val="24"/>
              </w:rPr>
              <w:t xml:space="preserve"> Улицы и дороги научно- </w:t>
            </w:r>
          </w:p>
          <w:p>
            <w:pPr>
              <w:jc w:val="both"/>
            </w:pPr>
            <w:r>
              <w:rPr>
                <w:rFonts w:ascii="Arial" w:cs="Arial" w:eastAsia="Arial" w:hAnsi="Arial"/>
                <w:sz w:val="24"/>
                <w:szCs w:val="24"/>
              </w:rPr>
              <w:t xml:space="preserve">производственных,</w:t>
            </w:r>
          </w:p>
          <w:p>
            <w:pPr>
              <w:jc w:val="both"/>
            </w:pPr>
            <w:r>
              <w:rPr>
                <w:rFonts w:ascii="Arial" w:cs="Arial" w:eastAsia="Arial" w:hAnsi="Arial"/>
                <w:sz w:val="24"/>
                <w:szCs w:val="24"/>
              </w:rPr>
              <w:t xml:space="preserve">промышленных, и </w:t>
            </w:r>
          </w:p>
          <w:p>
            <w:pPr>
              <w:jc w:val="both"/>
            </w:pPr>
            <w:r>
              <w:rPr>
                <w:rFonts w:ascii="Arial" w:cs="Arial" w:eastAsia="Arial" w:hAnsi="Arial"/>
                <w:sz w:val="24"/>
                <w:szCs w:val="24"/>
              </w:rPr>
              <w:t xml:space="preserve"> коммунально-</w:t>
            </w:r>
          </w:p>
          <w:p>
            <w:pPr>
              <w:jc w:val="both"/>
            </w:pPr>
            <w:r>
              <w:rPr>
                <w:rFonts w:ascii="Arial" w:cs="Arial" w:eastAsia="Arial" w:hAnsi="Arial"/>
                <w:sz w:val="24"/>
                <w:szCs w:val="24"/>
              </w:rPr>
              <w:t xml:space="preserve"> складских районов </w:t>
            </w:r>
          </w:p>
          <w:p>
            <w:pPr>
              <w:jc w:val="both"/>
            </w:pPr>
            <w:r>
              <w:rPr>
                <w:rFonts w:ascii="Arial" w:cs="Arial" w:eastAsia="Arial" w:hAnsi="Arial"/>
                <w:sz w:val="24"/>
                <w:szCs w:val="24"/>
              </w:rPr>
              <w:t xml:space="preserve"> парковые дороги</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w:t>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75</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w:t>
            </w:r>
          </w:p>
          <w:p>
            <w:pPr>
              <w:jc w:val="both"/>
            </w:pPr>
            <w:r>
              <w:rPr>
                <w:rFonts w:ascii="Arial" w:cs="Arial" w:eastAsia="Arial" w:hAnsi="Arial"/>
                <w:sz w:val="24"/>
                <w:szCs w:val="24"/>
              </w:rPr>
              <w:t xml:space="preserve">70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Проезды: </w:t>
            </w:r>
          </w:p>
          <w:p>
            <w:pPr>
              <w:jc w:val="both"/>
            </w:pPr>
            <w:r>
              <w:rPr>
                <w:rFonts w:ascii="Arial" w:cs="Arial" w:eastAsia="Arial" w:hAnsi="Arial"/>
                <w:sz w:val="24"/>
                <w:szCs w:val="24"/>
              </w:rPr>
              <w:t xml:space="preserve"> основные </w:t>
            </w:r>
          </w:p>
          <w:p>
            <w:pPr>
              <w:jc w:val="both"/>
            </w:pPr>
            <w:r>
              <w:rPr>
                <w:rFonts w:ascii="Arial" w:cs="Arial" w:eastAsia="Arial" w:hAnsi="Arial"/>
                <w:sz w:val="24"/>
                <w:szCs w:val="24"/>
              </w:rPr>
              <w:t xml:space="preserve"> второстепенные</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30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2,80</w:t>
            </w:r>
          </w:p>
          <w:p>
            <w:pPr>
              <w:jc w:val="both"/>
            </w:pPr>
            <w:r>
              <w:rPr>
                <w:rFonts w:ascii="Arial" w:cs="Arial" w:eastAsia="Arial" w:hAnsi="Arial"/>
                <w:sz w:val="24"/>
                <w:szCs w:val="24"/>
              </w:rPr>
              <w:t xml:space="preserve">3,00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1</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25</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w:t>
            </w:r>
          </w:p>
          <w:p>
            <w:pPr>
              <w:jc w:val="both"/>
            </w:pPr>
            <w:r>
              <w:rPr>
                <w:rFonts w:ascii="Arial" w:cs="Arial" w:eastAsia="Arial" w:hAnsi="Arial"/>
                <w:sz w:val="24"/>
                <w:szCs w:val="24"/>
              </w:rPr>
              <w:t xml:space="preserve">80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0,75</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Пешеходные улицы: </w:t>
            </w:r>
          </w:p>
          <w:p>
            <w:pPr>
              <w:jc w:val="both"/>
            </w:pPr>
            <w:r>
              <w:rPr>
                <w:rFonts w:ascii="Arial" w:cs="Arial" w:eastAsia="Arial" w:hAnsi="Arial"/>
                <w:sz w:val="24"/>
                <w:szCs w:val="24"/>
              </w:rPr>
              <w:t xml:space="preserve"> основные </w:t>
            </w:r>
          </w:p>
          <w:p>
            <w:pPr>
              <w:jc w:val="both"/>
            </w:pPr>
            <w:r>
              <w:rPr>
                <w:rFonts w:ascii="Arial" w:cs="Arial" w:eastAsia="Arial" w:hAnsi="Arial"/>
                <w:sz w:val="24"/>
                <w:szCs w:val="24"/>
              </w:rPr>
              <w:t xml:space="preserve"> второстепенные</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0,75</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расчету</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60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проекту</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Велосипедные дорожки: </w:t>
            </w:r>
          </w:p>
          <w:p>
            <w:pPr>
              <w:jc w:val="both"/>
            </w:pPr>
            <w:r>
              <w:rPr>
                <w:rFonts w:ascii="Arial" w:cs="Arial" w:eastAsia="Arial" w:hAnsi="Arial"/>
                <w:sz w:val="24"/>
                <w:szCs w:val="24"/>
              </w:rPr>
              <w:t xml:space="preserve"> обособленные </w:t>
            </w:r>
          </w:p>
          <w:p>
            <w:pPr>
              <w:jc w:val="both"/>
            </w:pPr>
            <w:r>
              <w:rPr>
                <w:rFonts w:ascii="Arial" w:cs="Arial" w:eastAsia="Arial" w:hAnsi="Arial"/>
                <w:sz w:val="24"/>
                <w:szCs w:val="24"/>
              </w:rPr>
              <w:t xml:space="preserve"> изолированные</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30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1,50</w:t>
            </w:r>
          </w:p>
          <w:p>
            <w:pPr>
              <w:jc w:val="both"/>
            </w:pPr>
            <w:r>
              <w:rPr>
                <w:rFonts w:ascii="Arial" w:cs="Arial" w:eastAsia="Arial" w:hAnsi="Arial"/>
                <w:sz w:val="24"/>
                <w:szCs w:val="24"/>
              </w:rPr>
              <w:t xml:space="preserve">1,50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 </w:t>
            </w:r>
          </w:p>
          <w:p>
            <w:pPr>
              <w:jc w:val="both"/>
            </w:pPr>
            <w:r>
              <w:rPr>
                <w:rFonts w:ascii="Arial" w:cs="Arial" w:eastAsia="Arial" w:hAnsi="Arial"/>
                <w:sz w:val="24"/>
                <w:szCs w:val="24"/>
              </w:rPr>
              <w:t xml:space="preserve">2-4</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50</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30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Велосипедные дорожки принимать не совмещенно с проезжей частью.</w:t>
      </w:r>
    </w:p>
    <w:p>
      <w:pPr>
        <w:spacing w:after="120"/>
        <w:ind w:firstLine="397"/>
        <w:jc w:val="both"/>
      </w:pPr>
      <w:r>
        <w:rPr>
          <w:rFonts w:ascii="Arial" w:cs="Arial" w:eastAsia="Arial" w:hAnsi="Arial"/>
          <w:sz w:val="24"/>
          <w:szCs w:val="24"/>
        </w:rPr>
        <w:t xml:space="preserve">* С учетом использования одной полосы для стоянок легковых автомобилей.</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9.15.1.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50-75; магистральных улиц – 40-80; улиц и дорог местного значения – 15-25. Ширина технической полосы, а также разделительных полос устанавливается в соответствии с действующими в строительстве нормативно-техническими документами и заданием на проектирование.</w:t>
      </w:r>
    </w:p>
    <w:p>
      <w:pPr>
        <w:spacing w:after="120"/>
        <w:ind w:firstLine="397"/>
        <w:jc w:val="both"/>
      </w:pPr>
      <w:r>
        <w:rPr>
          <w:rFonts w:ascii="Arial" w:cs="Arial" w:eastAsia="Arial" w:hAnsi="Arial"/>
          <w:sz w:val="24"/>
          <w:szCs w:val="24"/>
        </w:rPr>
        <w:t xml:space="preserve">9.15.2. В условиях сложного рельефа или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 /час с уменьшением радиусов кривых в плане и увеличением продольных уклонов.</w:t>
      </w:r>
    </w:p>
    <w:p>
      <w:pPr>
        <w:spacing w:after="120"/>
        <w:ind w:firstLine="397"/>
        <w:jc w:val="both"/>
      </w:pPr>
      <w:r>
        <w:rPr>
          <w:rFonts w:ascii="Arial" w:cs="Arial" w:eastAsia="Arial" w:hAnsi="Arial"/>
          <w:sz w:val="24"/>
          <w:szCs w:val="24"/>
        </w:rPr>
        <w:t xml:space="preserve">9.15.3. Для движения автобусов и троллейбусов на магистральных улицах и дорогах в больших, крупных и крупнейших городах следует предусматривать крайнюю полосу шириной 4 м; для пропуска автобусов в часы „пик» при интенсивности более 40 ед./ч, а в условиях реконструкции – более 20 ед./ч допускается устройство обособленной проезжей части шириной 8-12 м.</w:t>
      </w:r>
    </w:p>
    <w:p>
      <w:pPr>
        <w:spacing w:after="120"/>
        <w:ind w:firstLine="397"/>
        <w:jc w:val="both"/>
      </w:pPr>
      <w:r>
        <w:rPr>
          <w:rFonts w:ascii="Arial" w:cs="Arial" w:eastAsia="Arial" w:hAnsi="Arial"/>
          <w:sz w:val="24"/>
          <w:szCs w:val="24"/>
        </w:rPr>
        <w:t xml:space="preserve">На магистральных дорогах с преимущественным движением грузовых автомобилей допускается увеличивать ширину полосы движения до 4 м.</w:t>
      </w:r>
    </w:p>
    <w:p>
      <w:pPr>
        <w:spacing w:after="120"/>
        <w:ind w:firstLine="397"/>
        <w:jc w:val="both"/>
      </w:pPr>
      <w:r>
        <w:rPr>
          <w:rFonts w:ascii="Arial" w:cs="Arial" w:eastAsia="Arial" w:hAnsi="Arial"/>
          <w:sz w:val="24"/>
          <w:szCs w:val="24"/>
        </w:rPr>
        <w:t xml:space="preserve">9.15.4. В климатических подрайонах Iа, Iг наибольшие продольные уклоны проезжей части магистральных улиц и дорог следует уменьшать на 10 %. В местностях с объемом снегоприноса за зиму более 600 м3/м в пределах проезжей части улиц и дорог следует предусматривать полосы шириной до 3 м для складирования снега.</w:t>
      </w:r>
    </w:p>
    <w:p>
      <w:pPr>
        <w:spacing w:after="120"/>
        <w:ind w:firstLine="397"/>
        <w:jc w:val="both"/>
      </w:pPr>
      <w:r>
        <w:rPr>
          <w:rFonts w:ascii="Arial" w:cs="Arial" w:eastAsia="Arial" w:hAnsi="Arial"/>
          <w:sz w:val="24"/>
          <w:szCs w:val="24"/>
        </w:rPr>
        <w:t xml:space="preserve">9.15.5. В ширину пешеходной части тротуаров и дорожек не включаются площади, необходимые для размещения киосков, скамеек и т. п.</w:t>
      </w:r>
    </w:p>
    <w:p>
      <w:pPr>
        <w:spacing w:after="120"/>
        <w:ind w:firstLine="397"/>
        <w:jc w:val="both"/>
      </w:pPr>
      <w:r>
        <w:rPr>
          <w:rFonts w:ascii="Arial" w:cs="Arial" w:eastAsia="Arial" w:hAnsi="Arial"/>
          <w:sz w:val="24"/>
          <w:szCs w:val="24"/>
        </w:rPr>
        <w:t xml:space="preserve">9.15.6. В климатических подрайонах IA, IГ в местностях с объемом снегоприноса более 200 м3/м ширину тротуаров на магистральных улицах следует принимать не менее 3 м.</w:t>
      </w:r>
    </w:p>
    <w:p>
      <w:pPr>
        <w:spacing w:after="120"/>
        <w:ind w:firstLine="397"/>
        <w:jc w:val="both"/>
      </w:pPr>
      <w:r>
        <w:rPr>
          <w:rFonts w:ascii="Arial" w:cs="Arial" w:eastAsia="Arial" w:hAnsi="Arial"/>
          <w:sz w:val="24"/>
          <w:szCs w:val="24"/>
        </w:rPr>
        <w:t xml:space="preserve">9.15.7.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pPr>
        <w:spacing w:after="120"/>
        <w:ind w:firstLine="397"/>
        <w:jc w:val="both"/>
      </w:pPr>
      <w:r>
        <w:rPr>
          <w:rFonts w:ascii="Arial" w:cs="Arial" w:eastAsia="Arial" w:hAnsi="Arial"/>
          <w:sz w:val="24"/>
          <w:szCs w:val="24"/>
        </w:rPr>
        <w:t xml:space="preserve">9.15.8. При непосредственном примыкании тротуаров к стенам зданий, подпорным стенкам или оградам следует увеличивать их ширину не менее чем на 0,5 м.</w:t>
      </w:r>
    </w:p>
    <w:p>
      <w:pPr>
        <w:spacing w:after="120"/>
        <w:ind w:firstLine="397"/>
        <w:jc w:val="both"/>
      </w:pPr>
      <w:r>
        <w:rPr>
          <w:rFonts w:ascii="Arial" w:cs="Arial" w:eastAsia="Arial" w:hAnsi="Arial"/>
          <w:sz w:val="24"/>
          <w:szCs w:val="24"/>
        </w:rPr>
        <w:t xml:space="preserve">9.15.9.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и подземного пространства для перспективного строительства.</w:t>
      </w:r>
    </w:p>
    <w:p>
      <w:pPr>
        <w:spacing w:after="120"/>
        <w:ind w:firstLine="397"/>
        <w:jc w:val="both"/>
      </w:pPr>
      <w:r>
        <w:rPr>
          <w:rFonts w:ascii="Arial" w:cs="Arial" w:eastAsia="Arial" w:hAnsi="Arial"/>
          <w:sz w:val="24"/>
          <w:szCs w:val="24"/>
        </w:rPr>
        <w:t xml:space="preserve">9.15.10. В малых, средних и больших городах, а также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pPr>
        <w:spacing w:after="120"/>
        <w:ind w:firstLine="397"/>
        <w:jc w:val="both"/>
      </w:pPr>
      <w:r>
        <w:rPr>
          <w:rFonts w:ascii="Arial" w:cs="Arial" w:eastAsia="Arial" w:hAnsi="Arial"/>
          <w:sz w:val="24"/>
          <w:szCs w:val="24"/>
        </w:rPr>
        <w:t xml:space="preserve">Расстояние от края основной проезжей части улиц, местных или боковых проездов до красной линии или линии застройки следует принимать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pPr>
        <w:spacing w:after="120"/>
        <w:ind w:firstLine="397"/>
        <w:jc w:val="both"/>
      </w:pPr>
      <w:r>
        <w:rPr>
          <w:rFonts w:ascii="Arial" w:cs="Arial" w:eastAsia="Arial" w:hAnsi="Arial"/>
          <w:sz w:val="24"/>
          <w:szCs w:val="24"/>
        </w:rPr>
        <w:t xml:space="preserve">9.16.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pPr>
        <w:spacing w:after="120"/>
        <w:ind w:firstLine="397"/>
        <w:jc w:val="both"/>
      </w:pPr>
      <w:r>
        <w:rPr>
          <w:rFonts w:ascii="Arial" w:cs="Arial" w:eastAsia="Arial" w:hAnsi="Arial"/>
          <w:sz w:val="24"/>
          <w:szCs w:val="24"/>
        </w:rPr>
        <w:t xml:space="preserve">9.17. На магистральных улицах регулируемого движения допускается предусматривать велосипедные дорожки, выделенные разделительными полосами.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 м: до проезжей части, опор, деревьев - 0,75; до тротуаров - 0,5; стоянок автомобилей и остановок общественного транспорта - 1,5.</w:t>
      </w:r>
    </w:p>
    <w:p>
      <w:pPr>
        <w:spacing w:after="120"/>
        <w:ind w:firstLine="397"/>
        <w:jc w:val="both"/>
      </w:pPr>
      <w:r>
        <w:rPr>
          <w:rFonts w:ascii="Arial" w:cs="Arial" w:eastAsia="Arial" w:hAnsi="Arial"/>
          <w:sz w:val="24"/>
          <w:szCs w:val="24"/>
        </w:rPr>
        <w:t xml:space="preserve">При этом допускается, устраивать велосипедные полосы по краю проезжей части улиц и дорог с выделением их маркировкой двойной линией.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p>
      <w:pPr>
        <w:spacing w:after="120"/>
        <w:ind w:firstLine="397"/>
        <w:jc w:val="both"/>
      </w:pPr>
      <w:r>
        <w:rPr>
          <w:rFonts w:ascii="Arial" w:cs="Arial" w:eastAsia="Arial" w:hAnsi="Arial"/>
          <w:sz w:val="24"/>
          <w:szCs w:val="24"/>
        </w:rPr>
        <w:t xml:space="preserve">9.18. Радиусы закругления проезжей части улиц и дорог по кромке тротуаров и разделительных полос следует принимать не менее, м: для магистральных улиц и дорог регулируемого движения - 8, местного значения - 5; на транспортных площадях - 12. В стесненных условиях и при реконструкции радиусы закругления магистральных улиц и дорог регулируемого движения допускается уменьшить, но принимать не менее 6 м. на транспортных площадях - 8м.</w:t>
      </w:r>
    </w:p>
    <w:p>
      <w:pPr>
        <w:spacing w:after="120"/>
        <w:ind w:firstLine="397"/>
        <w:jc w:val="both"/>
      </w:pPr>
      <w:r>
        <w:rPr>
          <w:rFonts w:ascii="Arial" w:cs="Arial" w:eastAsia="Arial" w:hAnsi="Arial"/>
          <w:sz w:val="24"/>
          <w:szCs w:val="24"/>
        </w:rPr>
        <w:t xml:space="preserve">При отсутствии бордюрного ограждения, а также в случае применения минимальных радиусов закругления ширину проезжей части улиц и дорог следует увеличивать на 1 м на каждую полосу движения за счет боковых разделительных полос или уширения с внешней стороны.</w:t>
      </w:r>
    </w:p>
    <w:p>
      <w:pPr>
        <w:spacing w:after="120"/>
        <w:ind w:firstLine="397"/>
        <w:jc w:val="both"/>
      </w:pPr>
      <w:r>
        <w:rPr>
          <w:rFonts w:ascii="Arial" w:cs="Arial" w:eastAsia="Arial" w:hAnsi="Arial"/>
          <w:sz w:val="24"/>
          <w:szCs w:val="24"/>
        </w:rPr>
        <w:t xml:space="preserve">При этом, для общественного транспорта (троллейбус, автобус) радиусы закругления устанавливаются в соответствии с техническими требованиями эксплуатации этих видов транспорта.</w:t>
      </w:r>
    </w:p>
    <w:p>
      <w:pPr>
        <w:spacing w:after="120"/>
        <w:ind w:firstLine="397"/>
        <w:jc w:val="both"/>
      </w:pPr>
      <w:r>
        <w:rPr>
          <w:rFonts w:ascii="Arial" w:cs="Arial" w:eastAsia="Arial" w:hAnsi="Arial"/>
          <w:sz w:val="24"/>
          <w:szCs w:val="24"/>
        </w:rPr>
        <w:t xml:space="preserve">9.19.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«транспорт-транспорт» при скорости движения 40 и 60 км/ч должны быть соответственно не менее, м: 25 и 40. Для условий «пешеход-транспорт» размеры прямоугольного треугольника видимости должны быть при скорости движения транспорта 25 и 40 км/ч соответственно 8x40 и 10x50.</w:t>
      </w:r>
    </w:p>
    <w:p>
      <w:pPr>
        <w:spacing w:after="120"/>
        <w:ind w:firstLine="397"/>
        <w:jc w:val="both"/>
      </w:pPr>
      <w:r>
        <w:rPr>
          <w:rFonts w:ascii="Arial" w:cs="Arial" w:eastAsia="Arial" w:hAnsi="Arial"/>
          <w:sz w:val="24"/>
          <w:szCs w:val="24"/>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 0,5 м.</w:t>
      </w:r>
    </w:p>
    <w:p>
      <w:pPr>
        <w:spacing w:after="120"/>
        <w:ind w:firstLine="397"/>
        <w:jc w:val="both"/>
      </w:pPr>
      <w:r>
        <w:rPr>
          <w:rFonts w:ascii="Arial" w:cs="Arial" w:eastAsia="Arial" w:hAnsi="Arial"/>
          <w:sz w:val="24"/>
          <w:szCs w:val="24"/>
        </w:rPr>
        <w:t xml:space="preserve">При этом, 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pPr>
        <w:spacing w:after="120"/>
        <w:ind w:firstLine="397"/>
        <w:jc w:val="both"/>
      </w:pPr>
      <w:r>
        <w:rPr>
          <w:rFonts w:ascii="Arial" w:cs="Arial" w:eastAsia="Arial" w:hAnsi="Arial"/>
          <w:sz w:val="24"/>
          <w:szCs w:val="24"/>
        </w:rPr>
        <w:t xml:space="preserve">9.20. В селитебных районах,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механических инвалидных колясок. При этом высота вертикальных препятствий (бортовые камни) на пути следования не должна превышать 5 см; не допускаются крутые (более 100 0/00) короткие рампы, а также продольные уклоны тротуаров и пешеходных дорог более 50 0/00. На путях с уклонами 30-60 0/00 необходимо не реже чем через 100 м устраивать горизонтальные участки длиной не менее 5 м.</w:t>
      </w:r>
    </w:p>
    <w:p>
      <w:pPr>
        <w:spacing w:after="120"/>
        <w:ind w:firstLine="397"/>
        <w:jc w:val="both"/>
      </w:pPr>
      <w:r>
        <w:rPr>
          <w:rFonts w:ascii="Arial" w:cs="Arial" w:eastAsia="Arial" w:hAnsi="Arial"/>
          <w:sz w:val="24"/>
          <w:szCs w:val="24"/>
        </w:rPr>
        <w:t xml:space="preserve">9.21.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200-300 м.</w:t>
      </w:r>
    </w:p>
    <w:p>
      <w:pPr>
        <w:spacing w:after="120"/>
        <w:ind w:firstLine="397"/>
        <w:jc w:val="both"/>
      </w:pPr>
      <w:r>
        <w:rPr>
          <w:rFonts w:ascii="Arial" w:cs="Arial" w:eastAsia="Arial" w:hAnsi="Arial"/>
          <w:sz w:val="24"/>
          <w:szCs w:val="24"/>
        </w:rPr>
        <w:t xml:space="preserve">Пешеходные переходы в разных уровнях, оборудованные лестницами и пандусами, следует предусматривать с интервалом:</w:t>
      </w:r>
    </w:p>
    <w:p>
      <w:pPr>
        <w:spacing w:after="120"/>
        <w:ind w:firstLine="397"/>
        <w:jc w:val="both"/>
      </w:pPr>
      <w:r>
        <w:rPr>
          <w:rFonts w:ascii="Arial" w:cs="Arial" w:eastAsia="Arial" w:hAnsi="Arial"/>
          <w:sz w:val="24"/>
          <w:szCs w:val="24"/>
        </w:rPr>
        <w:t xml:space="preserve">400-800 м на дорогах скоростного движения, линиях скоростного трамвая и железных дорогах;</w:t>
      </w:r>
    </w:p>
    <w:p>
      <w:pPr>
        <w:spacing w:after="120"/>
        <w:ind w:firstLine="397"/>
        <w:jc w:val="both"/>
      </w:pPr>
      <w:r>
        <w:rPr>
          <w:rFonts w:ascii="Arial" w:cs="Arial" w:eastAsia="Arial" w:hAnsi="Arial"/>
          <w:sz w:val="24"/>
          <w:szCs w:val="24"/>
        </w:rPr>
        <w:t xml:space="preserve">300-400 м на магистральных улицах непрерывного движения. </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9.21.1. Возможность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чел./ч.</w:t>
      </w:r>
    </w:p>
    <w:p>
      <w:pPr>
        <w:spacing w:after="120"/>
        <w:ind w:firstLine="397"/>
        <w:jc w:val="both"/>
      </w:pPr>
      <w:r>
        <w:rPr>
          <w:rFonts w:ascii="Arial" w:cs="Arial" w:eastAsia="Arial" w:hAnsi="Arial"/>
          <w:sz w:val="24"/>
          <w:szCs w:val="24"/>
        </w:rPr>
        <w:t xml:space="preserve">9.21.2. Устройство пешеходных путей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чел./м2; на предзаводских площадях, у спортивно-зрелищных учреждений, кинотеатров, вокзалов - 0,8 чел/м2.</w:t>
      </w:r>
    </w:p>
    <w:p>
      <w:pPr>
        <w:spacing w:after="240" w:before="200"/>
        <w:jc w:val="center"/>
      </w:pPr>
      <w:r>
        <w:rPr>
          <w:rFonts w:ascii="Arial" w:cs="Arial" w:eastAsia="Arial" w:hAnsi="Arial"/>
          <w:b/>
          <w:bCs/>
          <w:sz w:val="32"/>
          <w:szCs w:val="32"/>
        </w:rPr>
        <w:t xml:space="preserve">Сеть общественного пассажирского транспорта и пешеходного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9.22. Вид общественного пассажирского транспорта следует выбирать на основании расчетных пассажиропотоков и дальностей поездок пассажиров. 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чел/м2 свободной площади пола пассажирского салона для обычных видов наземного транспорта и 3 чел/ м2 - для скоростного транспорта.</w:t>
      </w:r>
    </w:p>
    <w:p>
      <w:pPr>
        <w:spacing w:after="120"/>
        <w:ind w:firstLine="397"/>
        <w:jc w:val="both"/>
      </w:pPr>
      <w:r>
        <w:rPr>
          <w:rFonts w:ascii="Arial" w:cs="Arial" w:eastAsia="Arial" w:hAnsi="Arial"/>
          <w:sz w:val="24"/>
          <w:szCs w:val="24"/>
        </w:rPr>
        <w:t xml:space="preserve">9.23. Линии наземного общественного пассажирского транспорта следует принимать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 в соответствии с требованиями норм на транспортные сооружения.</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9.23.1. В историческом ядре общегородского центра в случае невозможности обеспечения нормативной пешеходной доступности остановок общественного пассажирского транспорта допускается устройство местной системы специализированных видов транспорта (пешеходный, велосипедные и другие виды).</w:t>
      </w:r>
    </w:p>
    <w:p>
      <w:pPr>
        <w:spacing w:after="120"/>
        <w:ind w:firstLine="397"/>
        <w:jc w:val="both"/>
      </w:pPr>
      <w:r>
        <w:rPr>
          <w:rFonts w:ascii="Arial" w:cs="Arial" w:eastAsia="Arial" w:hAnsi="Arial"/>
          <w:sz w:val="24"/>
          <w:szCs w:val="24"/>
        </w:rPr>
        <w:t xml:space="preserve">9.23.2. Через межмагистральные территории площадью свыше 100 га. в условиях реконструкции свыше 50 га, допускается прокладывать линии общественного пассажирского транспорта по пешеходно-транспортным улицам или обособленному полотну. Интенсивность движения средств общественного транспорта не должна превышать 30 ед./ч в двух направлениях, а расчетная скорость движения - 40 км/ч.</w:t>
      </w:r>
    </w:p>
    <w:p>
      <w:pPr>
        <w:spacing w:after="120"/>
        <w:ind w:firstLine="397"/>
        <w:jc w:val="both"/>
      </w:pPr>
      <w:r>
        <w:rPr>
          <w:rFonts w:ascii="Arial" w:cs="Arial" w:eastAsia="Arial" w:hAnsi="Arial"/>
          <w:sz w:val="24"/>
          <w:szCs w:val="24"/>
        </w:rPr>
        <w:t xml:space="preserve">9.23.3. 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 в пределах 1,5- 2,5 км/км2 .</w:t>
      </w:r>
    </w:p>
    <w:p>
      <w:pPr>
        <w:spacing w:after="120"/>
        <w:ind w:firstLine="397"/>
        <w:jc w:val="both"/>
      </w:pPr>
      <w:r>
        <w:rPr>
          <w:rFonts w:ascii="Arial" w:cs="Arial" w:eastAsia="Arial" w:hAnsi="Arial"/>
          <w:sz w:val="24"/>
          <w:szCs w:val="24"/>
        </w:rPr>
        <w:t xml:space="preserve">В центральных районах крупных и крупнейших городов плотность этой сети допускается увеличивать до 4,5 км/м2.</w:t>
      </w:r>
    </w:p>
    <w:p>
      <w:pPr>
        <w:spacing w:after="120"/>
        <w:ind w:firstLine="397"/>
        <w:jc w:val="both"/>
      </w:pPr>
      <w:r>
        <w:rPr>
          <w:rFonts w:ascii="Arial" w:cs="Arial" w:eastAsia="Arial" w:hAnsi="Arial"/>
          <w:sz w:val="24"/>
          <w:szCs w:val="24"/>
        </w:rPr>
        <w:t xml:space="preserve">9.24. Дальность пешеходных подходов до ближайшей остановки общественного пассажирского транспорта следует принимать не более 500 м; указанное расстояние следует уменьшать в. климатических подрайонах IA, IГ до 300 м, в IV климатическом районе до 400 м.</w:t>
      </w:r>
    </w:p>
    <w:p>
      <w:pPr>
        <w:spacing w:after="120"/>
        <w:ind w:firstLine="397"/>
        <w:jc w:val="both"/>
      </w:pPr>
      <w:r>
        <w:rPr>
          <w:rFonts w:ascii="Arial" w:cs="Arial" w:eastAsia="Arial" w:hAnsi="Arial"/>
          <w:sz w:val="24"/>
          <w:szCs w:val="24"/>
        </w:rPr>
        <w:t xml:space="preserve">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pPr>
        <w:spacing w:after="120"/>
        <w:ind w:firstLine="397"/>
        <w:jc w:val="both"/>
      </w:pPr>
      <w:r>
        <w:rPr>
          <w:rFonts w:ascii="Arial" w:cs="Arial" w:eastAsia="Arial" w:hAnsi="Arial"/>
          <w:sz w:val="24"/>
          <w:szCs w:val="24"/>
        </w:rPr>
        <w:t xml:space="preserve">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pPr>
        <w:spacing w:after="120"/>
        <w:ind w:firstLine="397"/>
        <w:jc w:val="both"/>
      </w:pPr>
      <w:r>
        <w:rPr>
          <w:rFonts w:ascii="Arial" w:cs="Arial" w:eastAsia="Arial" w:hAnsi="Arial"/>
          <w:sz w:val="24"/>
          <w:szCs w:val="24"/>
        </w:rPr>
        <w:t xml:space="preserve">9.25. Расстояния между остановочными пунктами на линиях общественного пассажирского транспорта в пределах территории населенных пунктов следует принимать: для автобусов и троллейбусов 400-600 м, экспресс-автобусов - 800-1200 м, электрифицированных железных дорог-1500-2000 м.</w:t>
      </w:r>
    </w:p>
    <w:p>
      <w:pPr>
        <w:spacing w:after="120"/>
        <w:ind w:firstLine="397"/>
        <w:jc w:val="both"/>
      </w:pPr>
      <w:r>
        <w:rPr>
          <w:rFonts w:ascii="Arial" w:cs="Arial" w:eastAsia="Arial" w:hAnsi="Arial"/>
          <w:sz w:val="24"/>
          <w:szCs w:val="24"/>
        </w:rPr>
        <w:t xml:space="preserve">9.26. В пересадочных узлах независимо от величины расчетных пассажиропотоков время передвижения на пересадку пассажиров не должно превышать 3 мин без учета времени ожидания транспорта. Коммуникационные элементы пересадочных узлов следует проектировать из условий обеспечения расчетной плотности движения потоков, чел/м2, не более: 1,0 - при одностороннем движении; 0,8 - при встречном движении; 0,5 - при устройстве распределительных площадок в местах пересечения и 0,3 - в центральных и конечных пересадочных узлах на линиях скоростного внеуличного транспорта.</w:t>
      </w:r>
    </w:p>
    <w:p>
      <w:pPr>
        <w:spacing w:after="240" w:before="200"/>
        <w:jc w:val="center"/>
      </w:pPr>
      <w:r>
        <w:rPr>
          <w:rFonts w:ascii="Arial" w:cs="Arial" w:eastAsia="Arial" w:hAnsi="Arial"/>
          <w:b/>
          <w:bCs/>
          <w:sz w:val="32"/>
          <w:szCs w:val="32"/>
        </w:rPr>
        <w:t xml:space="preserve">Сооружения и устройства для хранения и обслуживания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9.27. На селитебных территориях и на прилегающих к ним производственных территориях следует предусматривать гаражи для постоянного хранения не менее 70% расчетного числа индивидуальных легковых автомобилей, при пешеходной доступности не более 800 м, а в районах реконструкции или с неблагоприятной гидрогеологической обстановкой не более 1500 м.</w:t>
      </w:r>
    </w:p>
    <w:p>
      <w:pPr>
        <w:spacing w:after="120"/>
        <w:ind w:firstLine="397"/>
        <w:jc w:val="both"/>
      </w:pPr>
      <w:r>
        <w:rPr>
          <w:rFonts w:ascii="Arial" w:cs="Arial" w:eastAsia="Arial" w:hAnsi="Arial"/>
          <w:sz w:val="24"/>
          <w:szCs w:val="24"/>
        </w:rPr>
        <w:t xml:space="preserve">Для временного хранения легковых автомобилей следует предусматривать гаражи из расчета не менее чем для 70% расчетного парка индивидуальных легковых автомобилей, в том числе, %:</w:t>
      </w:r>
    </w:p>
    <w:p>
      <w:pPr>
        <w:spacing w:after="120"/>
        <w:ind w:firstLine="397"/>
        <w:jc w:val="both"/>
      </w:pPr>
      <w:r>
        <w:rPr>
          <w:rFonts w:ascii="Arial" w:cs="Arial" w:eastAsia="Arial" w:hAnsi="Arial"/>
          <w:sz w:val="24"/>
          <w:szCs w:val="24"/>
        </w:rPr>
        <w:t xml:space="preserve">жилые районы 25</w:t>
      </w:r>
    </w:p>
    <w:p>
      <w:pPr>
        <w:spacing w:after="120"/>
        <w:ind w:firstLine="397"/>
        <w:jc w:val="both"/>
      </w:pPr>
      <w:r>
        <w:rPr>
          <w:rFonts w:ascii="Arial" w:cs="Arial" w:eastAsia="Arial" w:hAnsi="Arial"/>
          <w:sz w:val="24"/>
          <w:szCs w:val="24"/>
        </w:rPr>
        <w:t xml:space="preserve">производственные и коммунально- складские зоны (районы)        25</w:t>
      </w:r>
    </w:p>
    <w:p>
      <w:pPr>
        <w:spacing w:after="120"/>
        <w:ind w:firstLine="397"/>
        <w:jc w:val="both"/>
      </w:pPr>
      <w:r>
        <w:rPr>
          <w:rFonts w:ascii="Arial" w:cs="Arial" w:eastAsia="Arial" w:hAnsi="Arial"/>
          <w:sz w:val="24"/>
          <w:szCs w:val="24"/>
        </w:rPr>
        <w:t xml:space="preserve">общегородские и специализированные центры          5</w:t>
      </w:r>
    </w:p>
    <w:p>
      <w:pPr>
        <w:spacing w:after="120"/>
        <w:ind w:firstLine="397"/>
        <w:jc w:val="both"/>
      </w:pPr>
      <w:r>
        <w:rPr>
          <w:rFonts w:ascii="Arial" w:cs="Arial" w:eastAsia="Arial" w:hAnsi="Arial"/>
          <w:sz w:val="24"/>
          <w:szCs w:val="24"/>
        </w:rPr>
        <w:t xml:space="preserve">зоны массового кратковременного отдыха        15</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9.27.1. Допускается предусматривать сезонное хранение 10-15 % парка легковых автомобилей в гаражах и на открытых стоянках, расположенных за пределами селитебных территорий населенного пункта.</w:t>
      </w:r>
    </w:p>
    <w:p>
      <w:pPr>
        <w:spacing w:after="120"/>
        <w:ind w:firstLine="397"/>
        <w:jc w:val="both"/>
      </w:pPr>
      <w:r>
        <w:rPr>
          <w:rFonts w:ascii="Arial" w:cs="Arial" w:eastAsia="Arial" w:hAnsi="Arial"/>
          <w:sz w:val="24"/>
          <w:szCs w:val="24"/>
        </w:rPr>
        <w:t xml:space="preserve">9.27.2.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pPr>
        <w:spacing w:after="120"/>
        <w:ind w:firstLine="397"/>
        <w:jc w:val="both"/>
      </w:pPr>
      <w:r>
        <w:rPr>
          <w:rFonts w:ascii="Arial" w:cs="Arial" w:eastAsia="Arial" w:hAnsi="Arial"/>
          <w:sz w:val="24"/>
          <w:szCs w:val="24"/>
        </w:rPr>
        <w:t xml:space="preserve">мотоциклы и мотороллеры</w:t>
      </w:r>
    </w:p>
    <w:p>
      <w:pPr>
        <w:spacing w:after="120"/>
        <w:ind w:firstLine="397"/>
        <w:jc w:val="both"/>
      </w:pPr>
      <w:r>
        <w:rPr>
          <w:rFonts w:ascii="Arial" w:cs="Arial" w:eastAsia="Arial" w:hAnsi="Arial"/>
          <w:sz w:val="24"/>
          <w:szCs w:val="24"/>
        </w:rPr>
        <w:t xml:space="preserve">с колясками, мотоколяски    0,5</w:t>
      </w:r>
    </w:p>
    <w:p>
      <w:pPr>
        <w:spacing w:after="120"/>
        <w:ind w:firstLine="397"/>
        <w:jc w:val="both"/>
      </w:pPr>
      <w:r>
        <w:rPr>
          <w:rFonts w:ascii="Arial" w:cs="Arial" w:eastAsia="Arial" w:hAnsi="Arial"/>
          <w:sz w:val="24"/>
          <w:szCs w:val="24"/>
        </w:rPr>
        <w:t xml:space="preserve">мотоциклы и мотороллеры без колясок  0,25</w:t>
      </w:r>
    </w:p>
    <w:p>
      <w:pPr>
        <w:spacing w:after="120"/>
        <w:ind w:firstLine="397"/>
        <w:jc w:val="both"/>
      </w:pPr>
      <w:r>
        <w:rPr>
          <w:rFonts w:ascii="Arial" w:cs="Arial" w:eastAsia="Arial" w:hAnsi="Arial"/>
          <w:sz w:val="24"/>
          <w:szCs w:val="24"/>
        </w:rPr>
        <w:t xml:space="preserve">мопеды и велосипеды          0,1</w:t>
      </w:r>
    </w:p>
    <w:p>
      <w:pPr>
        <w:spacing w:after="120"/>
        <w:ind w:firstLine="397"/>
        <w:jc w:val="both"/>
      </w:pPr>
      <w:r>
        <w:rPr>
          <w:rFonts w:ascii="Arial" w:cs="Arial" w:eastAsia="Arial" w:hAnsi="Arial"/>
          <w:sz w:val="24"/>
          <w:szCs w:val="24"/>
        </w:rPr>
        <w:t xml:space="preserve">9.27.3. Допускается предусматривать открытые стоянки для временного и постоянного хранения автомобилей в пределах улиц и дорог, граничащих с жилыми районами и микрорайонами.</w:t>
      </w:r>
    </w:p>
    <w:p>
      <w:pPr>
        <w:spacing w:after="120"/>
        <w:ind w:firstLine="397"/>
        <w:jc w:val="both"/>
      </w:pPr>
      <w:r>
        <w:rPr>
          <w:rFonts w:ascii="Arial" w:cs="Arial" w:eastAsia="Arial" w:hAnsi="Arial"/>
          <w:sz w:val="24"/>
          <w:szCs w:val="24"/>
        </w:rPr>
        <w:t xml:space="preserve">9.27.4. Указанные в пунктах 9.27.2 и 9.27.3 определенные расчетами предусматривается места массового хранения автомашин при разработке проектов детальной планировки населенных пунктов. </w:t>
      </w:r>
    </w:p>
    <w:p>
      <w:pPr>
        <w:spacing w:after="120"/>
        <w:ind w:firstLine="397"/>
        <w:jc w:val="both"/>
      </w:pPr>
      <w:r>
        <w:rPr>
          <w:rFonts w:ascii="Arial" w:cs="Arial" w:eastAsia="Arial" w:hAnsi="Arial"/>
          <w:sz w:val="24"/>
          <w:szCs w:val="24"/>
        </w:rPr>
        <w:t xml:space="preserve">9.27.5. На территории жилых районов и микрорайонов в больших, крупных и крупнейших городах следует предусматривать места для хранения автомобилей в многоярусных стоянках с использованием подземного пространства не менее 50% от расчетного показателя.</w:t>
      </w:r>
    </w:p>
    <w:p>
      <w:pPr>
        <w:spacing w:after="120"/>
        <w:ind w:firstLine="397"/>
        <w:jc w:val="both"/>
      </w:pPr>
      <w:r>
        <w:rPr>
          <w:rFonts w:ascii="Arial" w:cs="Arial" w:eastAsia="Arial" w:hAnsi="Arial"/>
          <w:sz w:val="24"/>
          <w:szCs w:val="24"/>
        </w:rPr>
        <w:t xml:space="preserve">9.28. Нормы расчета стоянок легковых автомобилей допускается принимать в соответствии с рекомендуемым приложением 9.</w:t>
      </w:r>
    </w:p>
    <w:p>
      <w:pPr>
        <w:spacing w:after="120"/>
        <w:ind w:firstLine="397"/>
        <w:jc w:val="both"/>
      </w:pPr>
      <w:r>
        <w:rPr>
          <w:rFonts w:ascii="Arial" w:cs="Arial" w:eastAsia="Arial" w:hAnsi="Arial"/>
          <w:sz w:val="24"/>
          <w:szCs w:val="24"/>
        </w:rPr>
        <w:t xml:space="preserve">9.29. Размер земельных участков гаражей и стоянок легковых автомобилей в зависимости от их этажности следует принимать, м2 на одно машино-место:</w:t>
      </w:r>
    </w:p>
    <w:p>
      <w:pPr>
        <w:spacing w:after="120"/>
        <w:ind w:firstLine="397"/>
        <w:jc w:val="both"/>
      </w:pPr>
      <w:r>
        <w:rPr>
          <w:rFonts w:ascii="Arial" w:cs="Arial" w:eastAsia="Arial" w:hAnsi="Arial"/>
          <w:sz w:val="24"/>
          <w:szCs w:val="24"/>
        </w:rPr>
        <w:t xml:space="preserve">для гаражей:</w:t>
      </w:r>
    </w:p>
    <w:p>
      <w:pPr>
        <w:spacing w:after="120"/>
        <w:ind w:firstLine="397"/>
        <w:jc w:val="both"/>
      </w:pPr>
      <w:r>
        <w:rPr>
          <w:rFonts w:ascii="Arial" w:cs="Arial" w:eastAsia="Arial" w:hAnsi="Arial"/>
          <w:sz w:val="24"/>
          <w:szCs w:val="24"/>
        </w:rPr>
        <w:t xml:space="preserve">одноэтажных………. 30</w:t>
      </w:r>
    </w:p>
    <w:p>
      <w:pPr>
        <w:spacing w:after="120"/>
        <w:ind w:firstLine="397"/>
        <w:jc w:val="both"/>
      </w:pPr>
      <w:r>
        <w:rPr>
          <w:rFonts w:ascii="Arial" w:cs="Arial" w:eastAsia="Arial" w:hAnsi="Arial"/>
          <w:sz w:val="24"/>
          <w:szCs w:val="24"/>
        </w:rPr>
        <w:t xml:space="preserve">двухэтажных    …….. 20</w:t>
      </w:r>
    </w:p>
    <w:p>
      <w:pPr>
        <w:spacing w:after="120"/>
        <w:ind w:firstLine="397"/>
        <w:jc w:val="both"/>
      </w:pPr>
      <w:r>
        <w:rPr>
          <w:rFonts w:ascii="Arial" w:cs="Arial" w:eastAsia="Arial" w:hAnsi="Arial"/>
          <w:sz w:val="24"/>
          <w:szCs w:val="24"/>
        </w:rPr>
        <w:t xml:space="preserve">трехэтажных     ……... 14</w:t>
      </w:r>
    </w:p>
    <w:p>
      <w:pPr>
        <w:spacing w:after="120"/>
        <w:ind w:firstLine="397"/>
        <w:jc w:val="both"/>
      </w:pPr>
      <w:r>
        <w:rPr>
          <w:rFonts w:ascii="Arial" w:cs="Arial" w:eastAsia="Arial" w:hAnsi="Arial"/>
          <w:sz w:val="24"/>
          <w:szCs w:val="24"/>
        </w:rPr>
        <w:t xml:space="preserve">четырехэтажных ……12</w:t>
      </w:r>
    </w:p>
    <w:p>
      <w:pPr>
        <w:spacing w:after="120"/>
        <w:ind w:firstLine="397"/>
        <w:jc w:val="both"/>
      </w:pPr>
      <w:r>
        <w:rPr>
          <w:rFonts w:ascii="Arial" w:cs="Arial" w:eastAsia="Arial" w:hAnsi="Arial"/>
          <w:sz w:val="24"/>
          <w:szCs w:val="24"/>
        </w:rPr>
        <w:t xml:space="preserve">пятиэтажных    ……... 10</w:t>
      </w:r>
    </w:p>
    <w:p>
      <w:pPr>
        <w:spacing w:after="120"/>
        <w:ind w:firstLine="397"/>
        <w:jc w:val="both"/>
      </w:pPr>
      <w:r>
        <w:rPr>
          <w:rFonts w:ascii="Arial" w:cs="Arial" w:eastAsia="Arial" w:hAnsi="Arial"/>
          <w:sz w:val="24"/>
          <w:szCs w:val="24"/>
        </w:rPr>
        <w:t xml:space="preserve">наземных стоянок       … 25</w:t>
      </w:r>
    </w:p>
    <w:p>
      <w:pPr>
        <w:spacing w:after="120"/>
        <w:ind w:firstLine="397"/>
        <w:jc w:val="both"/>
      </w:pPr>
      <w:r>
        <w:rPr>
          <w:rFonts w:ascii="Arial" w:cs="Arial" w:eastAsia="Arial" w:hAnsi="Arial"/>
          <w:sz w:val="24"/>
          <w:szCs w:val="24"/>
        </w:rPr>
        <w:t xml:space="preserve">9.30. Наименьшие расстояния до въездов в гаражи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30м.</w:t>
      </w:r>
    </w:p>
    <w:p>
      <w:pPr>
        <w:spacing w:after="120"/>
        <w:ind w:firstLine="397"/>
        <w:jc w:val="both"/>
      </w:pPr>
      <w:r>
        <w:rPr>
          <w:rFonts w:ascii="Arial" w:cs="Arial" w:eastAsia="Arial" w:hAnsi="Arial"/>
          <w:sz w:val="24"/>
          <w:szCs w:val="24"/>
        </w:rPr>
        <w:t xml:space="preserve">Въезды в подземные гаражи легковых автомобилей и выезды из них должны быть удалены от окон жилых домов и участков общеобразовательных школ, детских дошкольных учреждений и лечебных учреждений не менее чем на 15 м, кроме случаев, когда проектом предусматривается специальные мероприятия, по улучшению санитарных условий.</w:t>
      </w:r>
    </w:p>
    <w:p>
      <w:pPr>
        <w:spacing w:after="120"/>
        <w:ind w:firstLine="397"/>
        <w:jc w:val="both"/>
      </w:pPr>
      <w:r>
        <w:rPr>
          <w:rFonts w:ascii="Arial" w:cs="Arial" w:eastAsia="Arial" w:hAnsi="Arial"/>
          <w:sz w:val="24"/>
          <w:szCs w:val="24"/>
        </w:rPr>
        <w:t xml:space="preserve">Вентиляционные шахты подземных гаражей должны предусматриваться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9.31. Гаражи ведомственных автомобилей и легковых автомобилей специального назначения, грузовых автомобилей, такси и проката, автобусные и троллейбусные парки, а также базы централизованного технического обслуживания и сезонного хранения автомобилей и пункты проката автомобилей следует размешать в производственных зонах городов, принимая размеры их земельных участков согласно рекомендуемому приложению 9.</w:t>
      </w:r>
    </w:p>
    <w:p>
      <w:pPr>
        <w:spacing w:after="120"/>
        <w:ind w:firstLine="397"/>
        <w:jc w:val="both"/>
      </w:pPr>
      <w:r>
        <w:rPr>
          <w:rFonts w:ascii="Arial" w:cs="Arial" w:eastAsia="Arial" w:hAnsi="Arial"/>
          <w:sz w:val="24"/>
          <w:szCs w:val="24"/>
        </w:rPr>
        <w:t xml:space="preserve">9.32. 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следует принимать, исходя из сложившиеся конкретной градостроительной ситуации, в соответствии с таблицей 8.</w:t>
      </w:r>
    </w:p>
    <w:p>
      <w:pPr>
        <w:spacing w:after="120"/>
        <w:ind w:firstLine="397"/>
        <w:jc w:val="both"/>
      </w:pPr>
      <w:r>
        <w:rPr>
          <w:rFonts w:ascii="Arial" w:cs="Arial" w:eastAsia="Arial" w:hAnsi="Arial"/>
          <w:sz w:val="24"/>
          <w:szCs w:val="24"/>
        </w:rPr>
        <w:t xml:space="preserve">9.33. Станции технического обслуживания автомобилей следует проектировать из расчета один пост на 200 легковых автомобилей, принимая размеры их земельных участков, га, для станций:</w:t>
      </w:r>
    </w:p>
    <w:p>
      <w:pPr>
        <w:spacing w:after="120"/>
        <w:ind w:firstLine="397"/>
        <w:jc w:val="both"/>
      </w:pPr>
      <w:r>
        <w:rPr>
          <w:rFonts w:ascii="Arial" w:cs="Arial" w:eastAsia="Arial" w:hAnsi="Arial"/>
          <w:sz w:val="24"/>
          <w:szCs w:val="24"/>
        </w:rPr>
        <w:t xml:space="preserve">на 10 постов     …… 1,0</w:t>
      </w:r>
    </w:p>
    <w:p>
      <w:pPr>
        <w:spacing w:after="120"/>
        <w:ind w:firstLine="397"/>
        <w:jc w:val="both"/>
      </w:pPr>
      <w:r>
        <w:rPr>
          <w:rFonts w:ascii="Arial" w:cs="Arial" w:eastAsia="Arial" w:hAnsi="Arial"/>
          <w:sz w:val="24"/>
          <w:szCs w:val="24"/>
        </w:rPr>
        <w:t xml:space="preserve">-//- 15 -//- ………. 1,5</w:t>
      </w:r>
    </w:p>
    <w:p>
      <w:pPr>
        <w:spacing w:after="120"/>
        <w:ind w:firstLine="397"/>
        <w:jc w:val="both"/>
      </w:pPr>
      <w:r>
        <w:rPr>
          <w:rFonts w:ascii="Arial" w:cs="Arial" w:eastAsia="Arial" w:hAnsi="Arial"/>
          <w:sz w:val="24"/>
          <w:szCs w:val="24"/>
        </w:rPr>
        <w:t xml:space="preserve">-//- 25 -//- …………. 2,0</w:t>
      </w:r>
    </w:p>
    <w:p>
      <w:pPr>
        <w:spacing w:after="120"/>
        <w:ind w:firstLine="397"/>
        <w:jc w:val="both"/>
      </w:pPr>
      <w:r>
        <w:rPr>
          <w:rFonts w:ascii="Arial" w:cs="Arial" w:eastAsia="Arial" w:hAnsi="Arial"/>
          <w:sz w:val="24"/>
          <w:szCs w:val="24"/>
        </w:rPr>
        <w:t xml:space="preserve">-//- 40 -//- …………. 3,5</w:t>
      </w:r>
    </w:p>
    <w:p>
      <w:pPr>
        <w:spacing w:after="120"/>
        <w:ind w:firstLine="397"/>
        <w:jc w:val="both"/>
      </w:pPr>
      <w:r>
        <w:rPr>
          <w:rFonts w:ascii="Arial" w:cs="Arial" w:eastAsia="Arial" w:hAnsi="Arial"/>
          <w:sz w:val="24"/>
          <w:szCs w:val="24"/>
        </w:rPr>
        <w:t xml:space="preserve">9.34. 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pPr>
        <w:spacing w:after="120"/>
        <w:ind w:firstLine="397"/>
        <w:jc w:val="both"/>
      </w:pPr>
      <w:r>
        <w:rPr>
          <w:rFonts w:ascii="Arial" w:cs="Arial" w:eastAsia="Arial" w:hAnsi="Arial"/>
          <w:sz w:val="24"/>
          <w:szCs w:val="24"/>
        </w:rPr>
        <w:t xml:space="preserve">на 2 колонки ……. 0,1</w:t>
      </w:r>
    </w:p>
    <w:p>
      <w:pPr>
        <w:spacing w:after="120"/>
        <w:ind w:firstLine="397"/>
        <w:jc w:val="both"/>
      </w:pPr>
      <w:r>
        <w:rPr>
          <w:rFonts w:ascii="Arial" w:cs="Arial" w:eastAsia="Arial" w:hAnsi="Arial"/>
          <w:sz w:val="24"/>
          <w:szCs w:val="24"/>
        </w:rPr>
        <w:t xml:space="preserve">-//- 5 -//- ……..……. 0,2</w:t>
      </w:r>
    </w:p>
    <w:p>
      <w:pPr>
        <w:spacing w:after="120"/>
        <w:ind w:firstLine="397"/>
        <w:jc w:val="both"/>
      </w:pPr>
      <w:r>
        <w:rPr>
          <w:rFonts w:ascii="Arial" w:cs="Arial" w:eastAsia="Arial" w:hAnsi="Arial"/>
          <w:sz w:val="24"/>
          <w:szCs w:val="24"/>
        </w:rPr>
        <w:t xml:space="preserve">-//- 7 -//- …………. 0,3</w:t>
      </w:r>
    </w:p>
    <w:p>
      <w:pPr>
        <w:spacing w:after="120"/>
        <w:ind w:firstLine="397"/>
        <w:jc w:val="both"/>
      </w:pPr>
      <w:r>
        <w:rPr>
          <w:rFonts w:ascii="Arial" w:cs="Arial" w:eastAsia="Arial" w:hAnsi="Arial"/>
          <w:sz w:val="24"/>
          <w:szCs w:val="24"/>
        </w:rPr>
        <w:t xml:space="preserve">-//- 9 -//- …………. 0,35</w:t>
      </w:r>
    </w:p>
    <w:p>
      <w:pPr>
        <w:spacing w:after="120"/>
        <w:ind w:firstLine="397"/>
        <w:jc w:val="both"/>
      </w:pPr>
      <w:r>
        <w:rPr>
          <w:rFonts w:ascii="Arial" w:cs="Arial" w:eastAsia="Arial" w:hAnsi="Arial"/>
          <w:sz w:val="24"/>
          <w:szCs w:val="24"/>
        </w:rPr>
        <w:t xml:space="preserve">-//- 11 -//- ……….… 0,4</w:t>
      </w:r>
    </w:p>
    <w:p>
      <w:pPr>
        <w:spacing w:after="120"/>
        <w:ind w:firstLine="397"/>
        <w:jc w:val="both"/>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6"/>
        <w:gridCol w:w="1564"/>
        <w:gridCol w:w="1564"/>
        <w:gridCol w:w="1564"/>
        <w:gridCol w:w="1564"/>
        <w:gridCol w:w="1564"/>
      </w:tblGrid>
      <w:tr>
        <w:tc>
          <w:tcPr>
            <w:tcW w:type="dxa" w:w="235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до которых исчисляется разрыв</w:t>
            </w:r>
          </w:p>
        </w:tc>
        <w:tc>
          <w:tcPr>
            <w:tcW w:type="dxa" w:w="7820"/>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78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Открытые автостоянки и паркинги вместимостью, </w:t>
            </w:r>
          </w:p>
          <w:p>
            <w:pPr>
              <w:jc w:val="both"/>
            </w:pPr>
            <w:r>
              <w:rPr>
                <w:rFonts w:ascii="Arial" w:cs="Arial" w:eastAsia="Arial" w:hAnsi="Arial"/>
                <w:sz w:val="24"/>
                <w:szCs w:val="24"/>
              </w:rPr>
              <w:t xml:space="preserve">машино-мест</w:t>
            </w:r>
          </w:p>
        </w:tc>
      </w:tr>
      <w:tr>
        <w:tc>
          <w:tcPr>
            <w:vMerge w:val="continue"/>
            <w:tcBorders>
              <w:top w:val="single" w:color="CBBF9E" w:sz="4"/>
              <w:left w:val="single" w:color="CBBF9E" w:sz="4"/>
              <w:bottom w:val="single" w:color="CBBF9E" w:sz="4"/>
              <w:right w:val="single" w:color="CBBF9E" w:sz="4"/>
            </w:tcBorders>
          </w:tcP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и менее</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51-100</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101-300</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 300</w:t>
            </w:r>
          </w:p>
        </w:tc>
      </w:tr>
      <w:tr>
        <w:tc>
          <w:tcPr>
            <w:tcW w:type="dxa" w:w="23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Фасады жилых домов и торцы с окнами</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w:t>
            </w:r>
          </w:p>
        </w:tc>
      </w:tr>
      <w:tr>
        <w:tc>
          <w:tcPr>
            <w:tcW w:type="dxa" w:w="23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Торцы жилых домов без окон</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w:t>
            </w:r>
          </w:p>
        </w:tc>
      </w:tr>
    </w:tbl>
    <w:p>
      <w:pPr>
        <w:spacing w:after="240" w:before="200"/>
        <w:jc w:val="center"/>
      </w:pPr>
      <w:r>
        <w:rPr>
          <w:rFonts w:ascii="Arial" w:cs="Arial" w:eastAsia="Arial" w:hAnsi="Arial"/>
          <w:b/>
          <w:bCs/>
          <w:sz w:val="32"/>
          <w:szCs w:val="32"/>
        </w:rPr>
        <w:t xml:space="preserve">10. Инженерное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Водоснабжение и канализация</w:t>
      </w:r>
    </w:p>
    <w:p>
      <w:pPr>
        <w:spacing w:after="120"/>
        <w:ind w:firstLine="397"/>
        <w:jc w:val="both"/>
      </w:pPr>
      <w:r>
        <w:rPr>
          <w:rFonts w:ascii="Arial" w:cs="Arial" w:eastAsia="Arial" w:hAnsi="Arial"/>
          <w:sz w:val="24"/>
          <w:szCs w:val="24"/>
        </w:rPr>
        <w:t xml:space="preserve">10.1. Размеры земельных участков для станций очистки воды в зависимости от их производительности, тыс. м3/сут., следует принимать по проекту, но не более, га:</w:t>
      </w:r>
    </w:p>
    <w:p>
      <w:pPr>
        <w:spacing w:after="120"/>
        <w:ind w:firstLine="397"/>
        <w:jc w:val="both"/>
      </w:pPr>
      <w:r>
        <w:rPr>
          <w:rFonts w:ascii="Arial" w:cs="Arial" w:eastAsia="Arial" w:hAnsi="Arial"/>
          <w:sz w:val="24"/>
          <w:szCs w:val="24"/>
        </w:rPr>
        <w:t xml:space="preserve">до 0,8      .. 1,0;</w:t>
      </w:r>
    </w:p>
    <w:p>
      <w:pPr>
        <w:spacing w:after="120"/>
        <w:ind w:firstLine="397"/>
        <w:jc w:val="both"/>
      </w:pPr>
      <w:r>
        <w:rPr>
          <w:rFonts w:ascii="Arial" w:cs="Arial" w:eastAsia="Arial" w:hAnsi="Arial"/>
          <w:sz w:val="24"/>
          <w:szCs w:val="24"/>
        </w:rPr>
        <w:t xml:space="preserve">от 0,8 до 12       . 2,0;</w:t>
      </w:r>
    </w:p>
    <w:p>
      <w:pPr>
        <w:spacing w:after="120"/>
        <w:ind w:firstLine="397"/>
        <w:jc w:val="both"/>
      </w:pPr>
      <w:r>
        <w:rPr>
          <w:rFonts w:ascii="Arial" w:cs="Arial" w:eastAsia="Arial" w:hAnsi="Arial"/>
          <w:sz w:val="24"/>
          <w:szCs w:val="24"/>
        </w:rPr>
        <w:t xml:space="preserve">от 12 до 32        . 3,0;</w:t>
      </w:r>
    </w:p>
    <w:p>
      <w:pPr>
        <w:spacing w:after="120"/>
        <w:ind w:firstLine="397"/>
        <w:jc w:val="both"/>
      </w:pPr>
      <w:r>
        <w:rPr>
          <w:rFonts w:ascii="Arial" w:cs="Arial" w:eastAsia="Arial" w:hAnsi="Arial"/>
          <w:sz w:val="24"/>
          <w:szCs w:val="24"/>
        </w:rPr>
        <w:t xml:space="preserve">от 32 до 80        . 4,0;</w:t>
      </w:r>
    </w:p>
    <w:p>
      <w:pPr>
        <w:spacing w:after="120"/>
        <w:ind w:firstLine="397"/>
        <w:jc w:val="both"/>
      </w:pPr>
      <w:r>
        <w:rPr>
          <w:rFonts w:ascii="Arial" w:cs="Arial" w:eastAsia="Arial" w:hAnsi="Arial"/>
          <w:sz w:val="24"/>
          <w:szCs w:val="24"/>
        </w:rPr>
        <w:t xml:space="preserve">от 80 до 125      .6,0;</w:t>
      </w:r>
    </w:p>
    <w:p>
      <w:pPr>
        <w:spacing w:after="120"/>
        <w:ind w:firstLine="397"/>
        <w:jc w:val="both"/>
      </w:pPr>
      <w:r>
        <w:rPr>
          <w:rFonts w:ascii="Arial" w:cs="Arial" w:eastAsia="Arial" w:hAnsi="Arial"/>
          <w:sz w:val="24"/>
          <w:szCs w:val="24"/>
        </w:rPr>
        <w:t xml:space="preserve">от 125 до 250    12,0;</w:t>
      </w:r>
    </w:p>
    <w:p>
      <w:pPr>
        <w:spacing w:after="120"/>
        <w:ind w:firstLine="397"/>
        <w:jc w:val="both"/>
      </w:pPr>
      <w:r>
        <w:rPr>
          <w:rFonts w:ascii="Arial" w:cs="Arial" w:eastAsia="Arial" w:hAnsi="Arial"/>
          <w:sz w:val="24"/>
          <w:szCs w:val="24"/>
        </w:rPr>
        <w:t xml:space="preserve">от 250 до 400    18,0;</w:t>
      </w:r>
    </w:p>
    <w:p>
      <w:pPr>
        <w:spacing w:after="120"/>
        <w:ind w:firstLine="397"/>
        <w:jc w:val="both"/>
      </w:pPr>
      <w:r>
        <w:rPr>
          <w:rFonts w:ascii="Arial" w:cs="Arial" w:eastAsia="Arial" w:hAnsi="Arial"/>
          <w:sz w:val="24"/>
          <w:szCs w:val="24"/>
        </w:rPr>
        <w:t xml:space="preserve">от 400 до 800............. 24,0.</w:t>
      </w:r>
    </w:p>
    <w:p>
      <w:pPr>
        <w:spacing w:after="120"/>
        <w:ind w:firstLine="397"/>
        <w:jc w:val="both"/>
      </w:pPr>
      <w:r>
        <w:rPr>
          <w:rFonts w:ascii="Arial" w:cs="Arial" w:eastAsia="Arial" w:hAnsi="Arial"/>
          <w:sz w:val="24"/>
          <w:szCs w:val="24"/>
        </w:rPr>
        <w:t xml:space="preserve">10.2. Размеры земельных участков для очистных сооружений канализации следует принимать не более указанных в таблице 9.</w:t>
      </w:r>
    </w:p>
    <w:p>
      <w:pPr>
        <w:spacing w:after="120"/>
        <w:ind w:firstLine="397"/>
        <w:jc w:val="both"/>
      </w:pPr>
      <w:r>
        <w:rPr>
          <w:rFonts w:ascii="Arial" w:cs="Arial" w:eastAsia="Arial" w:hAnsi="Arial"/>
          <w:sz w:val="24"/>
          <w:szCs w:val="24"/>
        </w:rPr>
        <w:t xml:space="preserve">Таблица 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4"/>
        <w:gridCol w:w="2185"/>
        <w:gridCol w:w="2185"/>
        <w:gridCol w:w="2185"/>
      </w:tblGrid>
      <w:tr>
        <w:tc>
          <w:tcPr>
            <w:tcW w:type="dxa" w:w="362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Произво</w:t>
            </w:r>
            <w:r>
              <w:rPr>
                <w:rFonts w:ascii="Arial" w:cs="Arial" w:eastAsia="Arial" w:hAnsi="Arial"/>
                <w:sz w:val="24"/>
                <w:szCs w:val="24"/>
              </w:rPr>
              <w:t xml:space="preserve">дительность очистных сооружений канализации,</w:t>
            </w:r>
          </w:p>
          <w:p>
            <w:pPr>
              <w:jc w:val="both"/>
            </w:pPr>
            <w:r>
              <w:rPr>
                <w:rFonts w:ascii="Arial" w:cs="Arial" w:eastAsia="Arial" w:hAnsi="Arial"/>
                <w:sz w:val="24"/>
                <w:szCs w:val="24"/>
              </w:rPr>
              <w:t xml:space="preserve">тыс. м3/ сут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55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га</w:t>
            </w:r>
          </w:p>
        </w:tc>
      </w:tr>
      <w:tr>
        <w:tc>
          <w:tcPr>
            <w:vMerge w:val="continue"/>
            <w:tcBorders>
              <w:top w:val="single" w:color="CBBF9E" w:sz="4"/>
              <w:left w:val="single" w:color="CBBF9E" w:sz="4"/>
              <w:bottom w:val="single" w:color="CBBF9E" w:sz="4"/>
              <w:right w:val="single" w:color="CBBF9E" w:sz="4"/>
            </w:tcBorders>
          </w:tcP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очистных сооружений</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иловых площадок</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биологических прудов глубокой</w:t>
            </w:r>
          </w:p>
          <w:p>
            <w:pPr>
              <w:jc w:val="both"/>
            </w:pPr>
            <w:r>
              <w:rPr>
                <w:rFonts w:ascii="Arial" w:cs="Arial" w:eastAsia="Arial" w:hAnsi="Arial"/>
                <w:sz w:val="24"/>
                <w:szCs w:val="24"/>
              </w:rPr>
              <w:t xml:space="preserve">очистки сточных вод</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0,7</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0,7 до 17</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17 ’ 40</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40 ’ 130</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130 ’ 175</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175 ’ 280</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pPr>
        <w:spacing w:after="120"/>
        <w:ind w:firstLine="397"/>
        <w:jc w:val="both"/>
      </w:pPr>
      <w:r>
        <w:rPr>
          <w:rFonts w:ascii="Arial" w:cs="Arial" w:eastAsia="Arial" w:hAnsi="Arial"/>
          <w:sz w:val="24"/>
          <w:szCs w:val="24"/>
        </w:rPr>
        <w:t xml:space="preserve">10.4.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действующим нормативным документам.</w:t>
      </w:r>
    </w:p>
    <w:p>
      <w:pPr>
        <w:spacing w:after="120"/>
        <w:ind w:firstLine="397"/>
        <w:jc w:val="both"/>
      </w:pPr>
      <w:r>
        <w:rPr>
          <w:rFonts w:ascii="Arial" w:cs="Arial" w:eastAsia="Arial" w:hAnsi="Arial"/>
          <w:b/>
          <w:bCs/>
          <w:sz w:val="24"/>
          <w:szCs w:val="24"/>
        </w:rPr>
        <w:t xml:space="preserve">Санитарная очистка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10.5. Для городов с численностью населения свыше 250 тыс. чел. и курортов республиканского значения следует предусматривать предприятия по промышленной переработке бытовых отходов-мусороперерабатывающие предприятия.</w:t>
      </w:r>
    </w:p>
    <w:p>
      <w:pPr>
        <w:spacing w:after="120"/>
        <w:ind w:firstLine="397"/>
        <w:jc w:val="both"/>
      </w:pPr>
      <w:r>
        <w:rPr>
          <w:rFonts w:ascii="Arial" w:cs="Arial" w:eastAsia="Arial" w:hAnsi="Arial"/>
          <w:sz w:val="24"/>
          <w:szCs w:val="24"/>
        </w:rPr>
        <w:t xml:space="preserve">Нормы накопления бытовых отходов допускается принимать в соответствии с рекомендуемым приложением 10.</w:t>
      </w:r>
    </w:p>
    <w:p>
      <w:pPr>
        <w:spacing w:after="120"/>
        <w:ind w:firstLine="397"/>
        <w:jc w:val="both"/>
      </w:pPr>
      <w:r>
        <w:rPr>
          <w:rFonts w:ascii="Arial" w:cs="Arial" w:eastAsia="Arial" w:hAnsi="Arial"/>
          <w:sz w:val="24"/>
          <w:szCs w:val="24"/>
        </w:rPr>
        <w:t xml:space="preserve">10.6. Размеры земельных участков и санитарно-защитных зон предприятий и сооружений по транспортировке, обезвреживанию, переработке бытовых отходов и других объектов следует принимать:</w:t>
      </w:r>
    </w:p>
    <w:p>
      <w:pPr>
        <w:spacing w:after="120"/>
        <w:ind w:firstLine="397"/>
        <w:jc w:val="both"/>
      </w:pPr>
      <w:r>
        <w:rPr>
          <w:rFonts w:ascii="Arial" w:cs="Arial" w:eastAsia="Arial" w:hAnsi="Arial"/>
          <w:sz w:val="24"/>
          <w:szCs w:val="24"/>
        </w:rPr>
        <w:t xml:space="preserve">Класс I - санитарно-защитная зона 1000 м</w:t>
      </w:r>
    </w:p>
    <w:p>
      <w:pPr>
        <w:spacing w:after="120"/>
        <w:ind w:firstLine="397"/>
        <w:jc w:val="both"/>
      </w:pPr>
      <w:r>
        <w:rPr>
          <w:rFonts w:ascii="Arial" w:cs="Arial" w:eastAsia="Arial" w:hAnsi="Arial"/>
          <w:sz w:val="24"/>
          <w:szCs w:val="24"/>
        </w:rPr>
        <w:t xml:space="preserve">1) Усовершенствованные свалки твердых бытовых отходов.</w:t>
      </w:r>
    </w:p>
    <w:p>
      <w:pPr>
        <w:spacing w:after="120"/>
        <w:ind w:firstLine="397"/>
        <w:jc w:val="both"/>
      </w:pPr>
      <w:r>
        <w:rPr>
          <w:rFonts w:ascii="Arial" w:cs="Arial" w:eastAsia="Arial" w:hAnsi="Arial"/>
          <w:sz w:val="24"/>
          <w:szCs w:val="24"/>
        </w:rPr>
        <w:t xml:space="preserve">2) Поля ассенизации и поля запахивания.</w:t>
      </w:r>
    </w:p>
    <w:p>
      <w:pPr>
        <w:spacing w:after="120"/>
        <w:ind w:firstLine="397"/>
        <w:jc w:val="both"/>
      </w:pPr>
      <w:r>
        <w:rPr>
          <w:rFonts w:ascii="Arial" w:cs="Arial" w:eastAsia="Arial" w:hAnsi="Arial"/>
          <w:sz w:val="24"/>
          <w:szCs w:val="24"/>
        </w:rPr>
        <w:t xml:space="preserve">3) Скотомогильники с захоронением в ямах.</w:t>
      </w:r>
    </w:p>
    <w:p>
      <w:pPr>
        <w:spacing w:after="120"/>
        <w:ind w:firstLine="397"/>
        <w:jc w:val="both"/>
      </w:pPr>
      <w:r>
        <w:rPr>
          <w:rFonts w:ascii="Arial" w:cs="Arial" w:eastAsia="Arial" w:hAnsi="Arial"/>
          <w:sz w:val="24"/>
          <w:szCs w:val="24"/>
        </w:rPr>
        <w:t xml:space="preserve">4) Утильзаводы для ликвидации трупов животных и конфискатов.</w:t>
      </w:r>
    </w:p>
    <w:p>
      <w:pPr>
        <w:spacing w:after="120"/>
        <w:ind w:firstLine="397"/>
        <w:jc w:val="both"/>
      </w:pPr>
      <w:r>
        <w:rPr>
          <w:rFonts w:ascii="Arial" w:cs="Arial" w:eastAsia="Arial" w:hAnsi="Arial"/>
          <w:sz w:val="24"/>
          <w:szCs w:val="24"/>
        </w:rPr>
        <w:t xml:space="preserve">5) Усовершенствованные свалки для неутилизированных твердых промышленных отходов.</w:t>
      </w:r>
    </w:p>
    <w:p>
      <w:pPr>
        <w:spacing w:after="120"/>
        <w:ind w:firstLine="397"/>
        <w:jc w:val="both"/>
      </w:pPr>
      <w:r>
        <w:rPr>
          <w:rFonts w:ascii="Arial" w:cs="Arial" w:eastAsia="Arial" w:hAnsi="Arial"/>
          <w:sz w:val="24"/>
          <w:szCs w:val="24"/>
        </w:rPr>
        <w:t xml:space="preserve">6) Мусоросжигательные и мусороперерабатывающие объекты мощностью свыше 40 тыс. тонн в год.</w:t>
      </w:r>
    </w:p>
    <w:p>
      <w:pPr>
        <w:spacing w:after="120"/>
        <w:ind w:firstLine="397"/>
        <w:jc w:val="both"/>
      </w:pPr>
      <w:r>
        <w:rPr>
          <w:rFonts w:ascii="Arial" w:cs="Arial" w:eastAsia="Arial" w:hAnsi="Arial"/>
          <w:sz w:val="24"/>
          <w:szCs w:val="24"/>
        </w:rPr>
        <w:t xml:space="preserve">Класс II - санитарно-защитная зона 500 м</w:t>
      </w:r>
    </w:p>
    <w:p>
      <w:pPr>
        <w:spacing w:after="120"/>
        <w:ind w:firstLine="397"/>
        <w:jc w:val="both"/>
      </w:pPr>
      <w:r>
        <w:rPr>
          <w:rFonts w:ascii="Arial" w:cs="Arial" w:eastAsia="Arial" w:hAnsi="Arial"/>
          <w:sz w:val="24"/>
          <w:szCs w:val="24"/>
        </w:rPr>
        <w:t xml:space="preserve">1) Мусоросжигательные и мусороперерабатывающие объекты мощностью до 40 тыс. т/год.</w:t>
      </w:r>
    </w:p>
    <w:p>
      <w:pPr>
        <w:spacing w:after="120"/>
        <w:ind w:firstLine="397"/>
        <w:jc w:val="both"/>
      </w:pPr>
      <w:r>
        <w:rPr>
          <w:rFonts w:ascii="Arial" w:cs="Arial" w:eastAsia="Arial" w:hAnsi="Arial"/>
          <w:sz w:val="24"/>
          <w:szCs w:val="24"/>
        </w:rPr>
        <w:t xml:space="preserve">2) Полигоны и участки компостирования твердых бытовых отходов. </w:t>
      </w:r>
    </w:p>
    <w:p>
      <w:pPr>
        <w:spacing w:after="120"/>
        <w:ind w:firstLine="397"/>
        <w:jc w:val="both"/>
      </w:pPr>
      <w:r>
        <w:rPr>
          <w:rFonts w:ascii="Arial" w:cs="Arial" w:eastAsia="Arial" w:hAnsi="Arial"/>
          <w:sz w:val="24"/>
          <w:szCs w:val="24"/>
        </w:rPr>
        <w:t xml:space="preserve">3) Скотомогильники с биологическими камерами.</w:t>
      </w:r>
    </w:p>
    <w:p>
      <w:pPr>
        <w:spacing w:after="120"/>
        <w:ind w:firstLine="397"/>
        <w:jc w:val="both"/>
      </w:pPr>
      <w:r>
        <w:rPr>
          <w:rFonts w:ascii="Arial" w:cs="Arial" w:eastAsia="Arial" w:hAnsi="Arial"/>
          <w:sz w:val="24"/>
          <w:szCs w:val="24"/>
        </w:rPr>
        <w:t xml:space="preserve">4) Сливные станции.</w:t>
      </w:r>
    </w:p>
    <w:p>
      <w:pPr>
        <w:spacing w:after="120"/>
        <w:ind w:firstLine="397"/>
        <w:jc w:val="both"/>
      </w:pPr>
      <w:r>
        <w:rPr>
          <w:rFonts w:ascii="Arial" w:cs="Arial" w:eastAsia="Arial" w:hAnsi="Arial"/>
          <w:sz w:val="24"/>
          <w:szCs w:val="24"/>
        </w:rPr>
        <w:t xml:space="preserve">Класс III - санитарно-защитная зона 300 м</w:t>
      </w:r>
    </w:p>
    <w:p>
      <w:pPr>
        <w:spacing w:after="120"/>
        <w:ind w:firstLine="397"/>
        <w:jc w:val="both"/>
      </w:pPr>
      <w:r>
        <w:rPr>
          <w:rFonts w:ascii="Arial" w:cs="Arial" w:eastAsia="Arial" w:hAnsi="Arial"/>
          <w:sz w:val="24"/>
          <w:szCs w:val="24"/>
        </w:rPr>
        <w:t xml:space="preserve">1) Центральные базы по сбору утильсырья.</w:t>
      </w:r>
    </w:p>
    <w:p>
      <w:pPr>
        <w:spacing w:after="120"/>
        <w:ind w:firstLine="397"/>
        <w:jc w:val="both"/>
      </w:pPr>
      <w:r>
        <w:rPr>
          <w:rFonts w:ascii="Arial" w:cs="Arial" w:eastAsia="Arial" w:hAnsi="Arial"/>
          <w:sz w:val="24"/>
          <w:szCs w:val="24"/>
        </w:rPr>
        <w:t xml:space="preserve">3) Участки для парникового и тепличных хозяйств с использованием отходов.</w:t>
      </w:r>
    </w:p>
    <w:p>
      <w:pPr>
        <w:spacing w:after="120"/>
        <w:ind w:firstLine="397"/>
        <w:jc w:val="both"/>
      </w:pPr>
      <w:r>
        <w:rPr>
          <w:rFonts w:ascii="Arial" w:cs="Arial" w:eastAsia="Arial" w:hAnsi="Arial"/>
          <w:sz w:val="24"/>
          <w:szCs w:val="24"/>
        </w:rPr>
        <w:t xml:space="preserve">4) Компостирование отходов без навоза и фекалий.</w:t>
      </w:r>
    </w:p>
    <w:p>
      <w:pPr>
        <w:spacing w:after="120"/>
        <w:ind w:firstLine="397"/>
        <w:jc w:val="both"/>
      </w:pPr>
      <w:r>
        <w:rPr>
          <w:rFonts w:ascii="Arial" w:cs="Arial" w:eastAsia="Arial" w:hAnsi="Arial"/>
          <w:sz w:val="24"/>
          <w:szCs w:val="24"/>
        </w:rPr>
        <w:t xml:space="preserve">Класс IV - санитарно-защитная зона 100 м</w:t>
      </w:r>
    </w:p>
    <w:p>
      <w:pPr>
        <w:spacing w:after="120"/>
        <w:ind w:firstLine="397"/>
        <w:jc w:val="both"/>
      </w:pPr>
      <w:r>
        <w:rPr>
          <w:rFonts w:ascii="Arial" w:cs="Arial" w:eastAsia="Arial" w:hAnsi="Arial"/>
          <w:sz w:val="24"/>
          <w:szCs w:val="24"/>
        </w:rPr>
        <w:t xml:space="preserve">Мусороперегрузочные станции.</w:t>
      </w:r>
    </w:p>
    <w:p>
      <w:pPr>
        <w:spacing w:after="120"/>
        <w:ind w:firstLine="397"/>
        <w:jc w:val="both"/>
      </w:pPr>
      <w:r>
        <w:rPr>
          <w:rFonts w:ascii="Arial" w:cs="Arial" w:eastAsia="Arial" w:hAnsi="Arial"/>
          <w:sz w:val="24"/>
          <w:szCs w:val="24"/>
        </w:rPr>
        <w:t xml:space="preserve">Автозаправочные станции для заправки грузового и легкового автотранспорта жидким и газовым топливом.</w:t>
      </w:r>
    </w:p>
    <w:p>
      <w:pPr>
        <w:spacing w:after="120"/>
        <w:ind w:firstLine="397"/>
        <w:jc w:val="both"/>
      </w:pPr>
      <w:r>
        <w:rPr>
          <w:rFonts w:ascii="Arial" w:cs="Arial" w:eastAsia="Arial" w:hAnsi="Arial"/>
          <w:sz w:val="24"/>
          <w:szCs w:val="24"/>
        </w:rPr>
        <w:t xml:space="preserve">Класс V - санитарно-защитная зона 50 м</w:t>
      </w:r>
    </w:p>
    <w:p>
      <w:pPr>
        <w:spacing w:after="120"/>
        <w:ind w:firstLine="397"/>
        <w:jc w:val="both"/>
      </w:pPr>
      <w:r>
        <w:rPr>
          <w:rFonts w:ascii="Arial" w:cs="Arial" w:eastAsia="Arial" w:hAnsi="Arial"/>
          <w:sz w:val="24"/>
          <w:szCs w:val="24"/>
        </w:rPr>
        <w:t xml:space="preserve">Станции технического обслуживания легковых автомобилей до 5 постов (без малярно-жестяных работ).</w:t>
      </w:r>
    </w:p>
    <w:p>
      <w:pPr>
        <w:spacing w:after="120"/>
        <w:ind w:firstLine="397"/>
        <w:jc w:val="both"/>
      </w:pPr>
      <w:r>
        <w:rPr>
          <w:rFonts w:ascii="Arial" w:cs="Arial" w:eastAsia="Arial" w:hAnsi="Arial"/>
          <w:sz w:val="24"/>
          <w:szCs w:val="24"/>
        </w:rPr>
        <w:t xml:space="preserve">Автозаправочные станции для легкового автотранспорта, оборудованные системой закольцовки паров бензина с объектами обслуживания (магазины, кафе).</w:t>
      </w:r>
    </w:p>
    <w:p>
      <w:pPr>
        <w:spacing w:after="120"/>
        <w:ind w:firstLine="397"/>
        <w:jc w:val="both"/>
      </w:pPr>
      <w:r>
        <w:rPr>
          <w:rFonts w:ascii="Arial" w:cs="Arial" w:eastAsia="Arial" w:hAnsi="Arial"/>
          <w:sz w:val="24"/>
          <w:szCs w:val="24"/>
        </w:rPr>
        <w:t xml:space="preserve">10.6.1. Наименьшие размеры земельных участков полей ассенизации, компостирования и полигонов следует принимать с учетом гидрологических, климатических и грунтовых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Электро, тепло, холодо и газоснабжение. Связь, радиовещание и телевидение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Расход электроэнергии, потребность в тепле, газе и мощности источников энергоснабжения следует определять:</w:t>
      </w:r>
    </w:p>
    <w:p>
      <w:pPr>
        <w:spacing w:after="120"/>
        <w:ind w:firstLine="397"/>
        <w:jc w:val="both"/>
      </w:pPr>
      <w:r>
        <w:rPr>
          <w:rFonts w:ascii="Arial" w:cs="Arial" w:eastAsia="Arial" w:hAnsi="Arial"/>
          <w:sz w:val="24"/>
          <w:szCs w:val="24"/>
        </w:rPr>
        <w:t xml:space="preserve">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pPr>
        <w:spacing w:after="120"/>
        <w:ind w:firstLine="397"/>
        <w:jc w:val="both"/>
      </w:pPr>
      <w:r>
        <w:rPr>
          <w:rFonts w:ascii="Arial" w:cs="Arial" w:eastAsia="Arial" w:hAnsi="Arial"/>
          <w:sz w:val="24"/>
          <w:szCs w:val="24"/>
        </w:rPr>
        <w:t xml:space="preserve">для хозяйственно-бытовых и коммунальных нужд –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Допускается принимать укрупненные показатели электропотребления в соответствии с рекомендуемым </w:t>
      </w:r>
      <w:hyperlink w:history="1" r:id="rIdrllnwzhzhblwhf8udeps-">
        <w:r>
          <w:rPr>
            <w:rFonts w:ascii="Arial" w:cs="Arial" w:eastAsia="Arial" w:hAnsi="Arial"/>
            <w:color w:val="1D4ED8"/>
            <w:sz w:val="24"/>
            <w:szCs w:val="24"/>
            <w:u w:val="single"/>
          </w:rPr>
          <w:t xml:space="preserve">приложением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10.8. Прокладку электрических сетей напряжением 110 кВ и выше к понизительным подстанциям глубокого ввода в пределах селитебной территории крупнейших и крупных городов следует предусматривать кабельными линиями.</w:t>
      </w:r>
    </w:p>
    <w:p>
      <w:pPr>
        <w:spacing w:after="120"/>
        <w:ind w:firstLine="397"/>
        <w:jc w:val="both"/>
      </w:pPr>
      <w:r>
        <w:rPr>
          <w:rFonts w:ascii="Arial" w:cs="Arial" w:eastAsia="Arial" w:hAnsi="Arial"/>
          <w:sz w:val="24"/>
          <w:szCs w:val="24"/>
        </w:rPr>
        <w:t xml:space="preserve">Линии электропередачи, входящие в общие энергетические системы, не допускается размещать на территории промышленных зон (районов), а также производственных зон сельскохозяйственных предприятий.</w:t>
      </w:r>
    </w:p>
    <w:p>
      <w:pPr>
        <w:spacing w:after="120"/>
        <w:ind w:firstLine="397"/>
        <w:jc w:val="both"/>
      </w:pPr>
      <w:r>
        <w:rPr>
          <w:rFonts w:ascii="Arial" w:cs="Arial" w:eastAsia="Arial" w:hAnsi="Arial"/>
          <w:sz w:val="24"/>
          <w:szCs w:val="24"/>
        </w:rPr>
        <w:t xml:space="preserve">10.9. При реконструкции городов следует предусматривать вынос за пределы селитебной территории существующих воздушных линий электропередачи напряжением 35-110 кВ и выше или замену воздушных линий кабельными, а в крупнейших городах в случаях целесообразности застройки освобождаемой территории жилыми или общественными зданиями - также замену существующих открытых понизительных подстанций глубокого ввода закрытыми.</w:t>
      </w:r>
    </w:p>
    <w:p>
      <w:pPr>
        <w:spacing w:after="120"/>
        <w:ind w:firstLine="397"/>
        <w:jc w:val="both"/>
      </w:pPr>
      <w:r>
        <w:rPr>
          <w:rFonts w:ascii="Arial" w:cs="Arial" w:eastAsia="Arial" w:hAnsi="Arial"/>
          <w:sz w:val="24"/>
          <w:szCs w:val="24"/>
        </w:rPr>
        <w:t xml:space="preserve">10.10. Электрические сети напряжением до 20 кВ включаемых на селитебной территории городов и населенных пунктов в районах застройки зданиями в 4 этажа и выше, а также сети всех напряжений на территории курортных комплексов следует, предусматривать кабельными линиями.</w:t>
      </w:r>
    </w:p>
    <w:p>
      <w:pPr>
        <w:spacing w:after="120"/>
        <w:ind w:firstLine="397"/>
        <w:jc w:val="both"/>
      </w:pPr>
      <w:r>
        <w:rPr>
          <w:rFonts w:ascii="Arial" w:cs="Arial" w:eastAsia="Arial" w:hAnsi="Arial"/>
          <w:sz w:val="24"/>
          <w:szCs w:val="24"/>
        </w:rPr>
        <w:t xml:space="preserve">10.11. Понизительные подстанции с трансформаторами мощностью 16 тыс. кВ*А и выше и пункты перехода воздушных линий в кабельные, размещаемые на селитебной территории, а на территории курортных комплексов – все трансформаторные подстанции и распределительные устройства следует предусматривать закрытого типа. На подходах к подстанции и пунктам перехода воздушных линий в кабельные следует предусматривать технические полосы для ввода и вывода кабельных и воздушных линий.</w:t>
      </w:r>
    </w:p>
    <w:p>
      <w:pPr>
        <w:spacing w:after="120"/>
        <w:ind w:firstLine="397"/>
        <w:jc w:val="both"/>
      </w:pPr>
      <w:r>
        <w:rPr>
          <w:rFonts w:ascii="Arial" w:cs="Arial" w:eastAsia="Arial" w:hAnsi="Arial"/>
          <w:sz w:val="24"/>
          <w:szCs w:val="24"/>
        </w:rPr>
        <w:t xml:space="preserve">10.12. Размеры земельных, участков для закрытых понизительных подстанций, включая комплектные и распределительные устройства напряжением 110- 220 кВ, следует принимать не более 0,6 га, а пунктов перехода воздушных линий в кабельные - не более 0,1 га.</w:t>
      </w:r>
    </w:p>
    <w:p>
      <w:pPr>
        <w:spacing w:after="120"/>
        <w:ind w:firstLine="397"/>
        <w:jc w:val="both"/>
      </w:pPr>
      <w:r>
        <w:rPr>
          <w:rFonts w:ascii="Arial" w:cs="Arial" w:eastAsia="Arial" w:hAnsi="Arial"/>
          <w:sz w:val="24"/>
          <w:szCs w:val="24"/>
        </w:rPr>
        <w:t xml:space="preserve">10.13. 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1000 кВ*А и выполнением мер по шумозащите расстояние от них до окон жилых и общественных зданий следует принимать не менее 10 м, а до зданий лечебно-профилактических учреждений – не менее 15 м.</w:t>
      </w:r>
    </w:p>
    <w:p>
      <w:pPr>
        <w:spacing w:after="120"/>
        <w:ind w:firstLine="397"/>
        <w:jc w:val="both"/>
      </w:pPr>
      <w:r>
        <w:rPr>
          <w:rFonts w:ascii="Arial" w:cs="Arial" w:eastAsia="Arial" w:hAnsi="Arial"/>
          <w:sz w:val="24"/>
          <w:szCs w:val="24"/>
        </w:rPr>
        <w:t xml:space="preserve">10.14. Теплоснабжение населенных пунктов следует предусматривать в соответствии с утвержденными схемами теплоснабжения.</w:t>
      </w:r>
    </w:p>
    <w:p>
      <w:pPr>
        <w:spacing w:after="120"/>
        <w:ind w:firstLine="397"/>
        <w:jc w:val="both"/>
      </w:pPr>
      <w:r>
        <w:rPr>
          <w:rFonts w:ascii="Arial" w:cs="Arial" w:eastAsia="Arial" w:hAnsi="Arial"/>
          <w:sz w:val="24"/>
          <w:szCs w:val="24"/>
        </w:rPr>
        <w:t xml:space="preserve">10.15. При отсутствии схемы теплоснабжения в районах одно-, двухэтажной жилой застройки с плотностью населения 40 чел/га и выше и в сельских населенных пунктах системы централизованного теплоснабжения допускается предусматривать от котельных на группу общественных и жилых зданий.</w:t>
      </w:r>
    </w:p>
    <w:p>
      <w:pPr>
        <w:spacing w:after="120"/>
        <w:ind w:firstLine="397"/>
        <w:jc w:val="both"/>
      </w:pPr>
      <w:r>
        <w:rPr>
          <w:rFonts w:ascii="Arial" w:cs="Arial" w:eastAsia="Arial" w:hAnsi="Arial"/>
          <w:sz w:val="24"/>
          <w:szCs w:val="24"/>
        </w:rPr>
        <w:t xml:space="preserve">В городах, расположенных в IV климатическом районе, следует предусматривать, при соответствующем технико-экономическом обосновании, централизованные системы холодоснабжения.</w:t>
      </w:r>
    </w:p>
    <w:p>
      <w:pPr>
        <w:spacing w:after="120"/>
        <w:ind w:firstLine="397"/>
        <w:jc w:val="both"/>
      </w:pPr>
      <w:r>
        <w:rPr>
          <w:rFonts w:ascii="Arial" w:cs="Arial" w:eastAsia="Arial" w:hAnsi="Arial"/>
          <w:sz w:val="24"/>
          <w:szCs w:val="24"/>
        </w:rPr>
        <w:t xml:space="preserve">10.16. Размеры земельных участков для отдельно стоящих отопительных котельных, располагаемых в районах жилой застройки, следует принимать по таблице 10.</w:t>
      </w:r>
    </w:p>
    <w:p>
      <w:pPr>
        <w:spacing w:after="120"/>
        <w:ind w:firstLine="397"/>
        <w:jc w:val="both"/>
      </w:pPr>
      <w:r>
        <w:rPr>
          <w:rFonts w:ascii="Arial" w:cs="Arial" w:eastAsia="Arial" w:hAnsi="Arial"/>
          <w:sz w:val="24"/>
          <w:szCs w:val="24"/>
        </w:rPr>
        <w:t xml:space="preserve">Таблица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9"/>
        <w:gridCol w:w="2465"/>
        <w:gridCol w:w="2465"/>
      </w:tblGrid>
      <w:tr>
        <w:tc>
          <w:tcPr>
            <w:tcW w:type="dxa" w:w="524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Теплопроизводительность котельных, Гкал/ч (МВт)</w:t>
            </w:r>
          </w:p>
        </w:tc>
        <w:tc>
          <w:tcPr>
            <w:tcW w:type="dxa" w:w="493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га, котельных, работающих</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твердом топливе</w:t>
            </w:r>
          </w:p>
        </w:tc>
        <w:tc>
          <w:tcPr>
            <w:tcW w:type="dxa" w:w="24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газомазутном топливе</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5</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5 до 10 (от 6 до 12)</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10 до 50 (от 12 до 58)</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50 до 100 (от 58 до 116)</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100 до 200 (от 116 до 233)</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200 до 400 (от 233 до 466)</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bl>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10.16.1.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w:t>
      </w:r>
    </w:p>
    <w:p>
      <w:pPr>
        <w:spacing w:after="120"/>
        <w:ind w:firstLine="397"/>
        <w:jc w:val="both"/>
      </w:pPr>
      <w:r>
        <w:rPr>
          <w:rFonts w:ascii="Arial" w:cs="Arial" w:eastAsia="Arial" w:hAnsi="Arial"/>
          <w:sz w:val="24"/>
          <w:szCs w:val="24"/>
        </w:rPr>
        <w:t xml:space="preserve">10.16.2. Размещение золошлакоотвалов следует предусматривать вне селитебной территории. Условия размещения золошлакоотвалов и определение размеров площадок для них необходимо предусматривать по действующим нормативным документам.</w:t>
      </w:r>
    </w:p>
    <w:p>
      <w:pPr>
        <w:spacing w:after="120"/>
        <w:ind w:firstLine="397"/>
        <w:jc w:val="both"/>
      </w:pPr>
      <w:r>
        <w:rPr>
          <w:rFonts w:ascii="Arial" w:cs="Arial" w:eastAsia="Arial" w:hAnsi="Arial"/>
          <w:sz w:val="24"/>
          <w:szCs w:val="24"/>
        </w:rPr>
        <w:t xml:space="preserve">10.16.3. Размеры санитарно-защитных зон от котельных определяются в соответствии с действующими санитарными нормами.</w:t>
      </w:r>
    </w:p>
    <w:p>
      <w:pPr>
        <w:spacing w:after="120"/>
        <w:ind w:firstLine="397"/>
        <w:jc w:val="both"/>
      </w:pPr>
      <w:r>
        <w:rPr>
          <w:rFonts w:ascii="Arial" w:cs="Arial" w:eastAsia="Arial" w:hAnsi="Arial"/>
          <w:sz w:val="24"/>
          <w:szCs w:val="24"/>
        </w:rPr>
        <w:t xml:space="preserve">10.17. Размеры земельных участков газонаполнительных станций (ГНС) в зависимости от их производительности следует принимать по проекту, но не более, га, для станций производительностью:</w:t>
      </w:r>
    </w:p>
    <w:p>
      <w:pPr>
        <w:spacing w:after="120"/>
        <w:ind w:firstLine="397"/>
        <w:jc w:val="both"/>
      </w:pPr>
      <w:r>
        <w:rPr>
          <w:rFonts w:ascii="Arial" w:cs="Arial" w:eastAsia="Arial" w:hAnsi="Arial"/>
          <w:sz w:val="24"/>
          <w:szCs w:val="24"/>
        </w:rPr>
        <w:t xml:space="preserve">10 тыс. т/год …… 6</w:t>
      </w:r>
    </w:p>
    <w:p>
      <w:pPr>
        <w:spacing w:after="120"/>
        <w:ind w:firstLine="397"/>
        <w:jc w:val="both"/>
      </w:pPr>
      <w:r>
        <w:rPr>
          <w:rFonts w:ascii="Arial" w:cs="Arial" w:eastAsia="Arial" w:hAnsi="Arial"/>
          <w:sz w:val="24"/>
          <w:szCs w:val="24"/>
        </w:rPr>
        <w:t xml:space="preserve">20 тыс. т/год …… 7</w:t>
      </w:r>
    </w:p>
    <w:p>
      <w:pPr>
        <w:spacing w:after="120"/>
        <w:ind w:firstLine="397"/>
        <w:jc w:val="both"/>
      </w:pPr>
      <w:r>
        <w:rPr>
          <w:rFonts w:ascii="Arial" w:cs="Arial" w:eastAsia="Arial" w:hAnsi="Arial"/>
          <w:sz w:val="24"/>
          <w:szCs w:val="24"/>
        </w:rPr>
        <w:t xml:space="preserve">40 тыс. т/год …… 8</w:t>
      </w:r>
    </w:p>
    <w:p>
      <w:pPr>
        <w:spacing w:after="120"/>
        <w:ind w:firstLine="397"/>
        <w:jc w:val="both"/>
      </w:pPr>
      <w:r>
        <w:rPr>
          <w:rFonts w:ascii="Arial" w:cs="Arial" w:eastAsia="Arial" w:hAnsi="Arial"/>
          <w:sz w:val="24"/>
          <w:szCs w:val="24"/>
        </w:rPr>
        <w:t xml:space="preserve">10.18. Размеры земельных участков газонаполнительных пунктов (ГНП) и промежуточных складов баллонов (ПСБ) следует принимать не более 0,6 га. Расстояния от них до зданий и сооружений различного назначения следует принимать согласно действующим нормативным документам.</w:t>
      </w:r>
    </w:p>
    <w:p>
      <w:pPr>
        <w:spacing w:after="120"/>
        <w:ind w:firstLine="397"/>
        <w:jc w:val="both"/>
      </w:pPr>
      <w:r>
        <w:rPr>
          <w:rFonts w:ascii="Arial" w:cs="Arial" w:eastAsia="Arial" w:hAnsi="Arial"/>
          <w:sz w:val="24"/>
          <w:szCs w:val="24"/>
        </w:rPr>
        <w:t xml:space="preserve">10.19.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нормативных документов, утвержденных в установленном порядке.</w:t>
      </w:r>
    </w:p>
    <w:p>
      <w:pPr>
        <w:spacing w:after="120"/>
        <w:ind w:firstLine="397"/>
        <w:jc w:val="both"/>
      </w:pPr>
      <w:r>
        <w:rPr>
          <w:rFonts w:ascii="Arial" w:cs="Arial" w:eastAsia="Arial" w:hAnsi="Arial"/>
          <w:b/>
          <w:bCs/>
          <w:sz w:val="24"/>
          <w:szCs w:val="24"/>
        </w:rPr>
        <w:t xml:space="preserve">Размещение инженерных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10.20. Инженерные сети следует размещать преимущественно в пределах поперечных профилей улиц и дорог; под тротуарами (или разделительными полосами) - тепловые сети, каналы или тоннели; на разделительных полосах - водопровод, газопровод, хозяйственно-бытовую и дождевую канализацию.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w:t>
      </w:r>
    </w:p>
    <w:p>
      <w:pPr>
        <w:spacing w:after="120"/>
        <w:ind w:firstLine="397"/>
        <w:jc w:val="both"/>
      </w:pPr>
      <w:r>
        <w:rPr>
          <w:rFonts w:ascii="Arial" w:cs="Arial" w:eastAsia="Arial" w:hAnsi="Arial"/>
          <w:sz w:val="24"/>
          <w:szCs w:val="24"/>
        </w:rPr>
        <w:t xml:space="preserve">При ширине проезжей части более 22 м следует предусматривать размещение сетей водопровода по обеим сторонам улиц.</w:t>
      </w:r>
    </w:p>
    <w:p>
      <w:pPr>
        <w:spacing w:after="120"/>
        <w:ind w:firstLine="397"/>
        <w:jc w:val="both"/>
      </w:pPr>
      <w:r>
        <w:rPr>
          <w:rFonts w:ascii="Arial" w:cs="Arial" w:eastAsia="Arial" w:hAnsi="Arial"/>
          <w:sz w:val="24"/>
          <w:szCs w:val="24"/>
        </w:rPr>
        <w:t xml:space="preserve">10.21. При реконструкции проезжих частей улиц и дорог с устройством капитальных дорожных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допускается под проезжими частями улиц сохранение существующих, а также прокладка в каналах и тоннелях новых сетей.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допускается прокладка газопровода под проезжими частями улиц.</w:t>
      </w:r>
    </w:p>
    <w:p>
      <w:pPr>
        <w:spacing w:after="120"/>
        <w:ind w:firstLine="397"/>
        <w:jc w:val="both"/>
      </w:pPr>
      <w:r>
        <w:rPr>
          <w:rFonts w:ascii="Arial" w:cs="Arial" w:eastAsia="Arial" w:hAnsi="Arial"/>
          <w:sz w:val="24"/>
          <w:szCs w:val="24"/>
        </w:rPr>
        <w:t xml:space="preserve">10.22. Прокладку подземных инженерных сетей следует, предусматривать: совмещенную в общих траншеях в тоннелях – при необходимости одновременного размещения тепловых сетей диаметром от 500 до 900 мм, водопровода до 500 мм. Совместная прокладка газо- и трубопроводов, транспортирующих легковоспламеняющиеся и горючие жидкости, с кабельными линиями не допускается.</w:t>
      </w:r>
    </w:p>
    <w:p>
      <w:pPr>
        <w:spacing w:after="120"/>
        <w:ind w:firstLine="397"/>
        <w:jc w:val="both"/>
      </w:pPr>
      <w:r>
        <w:rPr>
          <w:rFonts w:ascii="Arial" w:cs="Arial" w:eastAsia="Arial" w:hAnsi="Arial"/>
          <w:sz w:val="24"/>
          <w:szCs w:val="24"/>
        </w:rPr>
        <w:t xml:space="preserve">В районах распространения вечномерзлых грунтов при осуществлении строительства инженерных сетей с сохранением грунтов в мерзлом состоянии следует предусматривать размещение теплопроводов в каналах или тоннелях независимо от их диаметра.</w:t>
      </w:r>
    </w:p>
    <w:p>
      <w:pPr>
        <w:spacing w:after="120"/>
        <w:ind w:firstLine="397"/>
        <w:jc w:val="both"/>
      </w:pPr>
      <w:r>
        <w:rPr>
          <w:rFonts w:ascii="Arial" w:cs="Arial" w:eastAsia="Arial" w:hAnsi="Arial"/>
          <w:sz w:val="24"/>
          <w:szCs w:val="24"/>
        </w:rPr>
        <w:t xml:space="preserve">10.23. Расстояние по горизонтали (в свету) от ближайших подземных инженерных сетей до зданий и сооружений следует принимать по таблице 11.</w:t>
      </w:r>
    </w:p>
    <w:p>
      <w:pPr>
        <w:spacing w:after="120"/>
        <w:ind w:firstLine="397"/>
        <w:jc w:val="both"/>
      </w:pPr>
      <w:r>
        <w:rPr>
          <w:rFonts w:ascii="Arial" w:cs="Arial" w:eastAsia="Arial" w:hAnsi="Arial"/>
          <w:sz w:val="24"/>
          <w:szCs w:val="24"/>
        </w:rPr>
        <w:t xml:space="preserve">10.24. При пересечении подземных инженерных сетей с пешеходными переходами следует предусматривать прокладку трубопроводов под тоннелями, а кабелей силовых и связи - над тоннелями.</w:t>
      </w:r>
    </w:p>
    <w:p>
      <w:pPr>
        <w:spacing w:after="120"/>
        <w:ind w:firstLine="397"/>
        <w:jc w:val="both"/>
      </w:pPr>
      <w:r>
        <w:rPr>
          <w:rFonts w:ascii="Arial" w:cs="Arial" w:eastAsia="Arial" w:hAnsi="Arial"/>
          <w:sz w:val="24"/>
          <w:szCs w:val="24"/>
        </w:rPr>
        <w:t xml:space="preserve">10.25.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по селитебной территории не допускается.</w:t>
      </w:r>
    </w:p>
    <w:p>
      <w:pPr>
        <w:spacing w:after="120"/>
        <w:ind w:firstLine="397"/>
        <w:jc w:val="both"/>
      </w:pPr>
      <w:r>
        <w:rPr>
          <w:rFonts w:ascii="Arial" w:cs="Arial" w:eastAsia="Arial" w:hAnsi="Arial"/>
          <w:sz w:val="24"/>
          <w:szCs w:val="24"/>
        </w:rPr>
        <w:t xml:space="preserve">Магистральные трубопроводы следует прокладывать за пределами населенных пунктов. </w:t>
      </w:r>
    </w:p>
    <w:p>
      <w:pPr>
        <w:spacing w:after="120"/>
        <w:ind w:firstLine="397"/>
        <w:jc w:val="both"/>
      </w:pPr>
      <w:r>
        <w:rPr>
          <w:rFonts w:ascii="Arial" w:cs="Arial" w:eastAsia="Arial" w:hAnsi="Arial"/>
          <w:sz w:val="24"/>
          <w:szCs w:val="24"/>
        </w:rPr>
        <w:t xml:space="preserve">Таблица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1"/>
        <w:gridCol w:w="931"/>
        <w:gridCol w:w="756"/>
        <w:gridCol w:w="756"/>
        <w:gridCol w:w="756"/>
        <w:gridCol w:w="756"/>
        <w:gridCol w:w="756"/>
        <w:gridCol w:w="756"/>
        <w:gridCol w:w="756"/>
        <w:gridCol w:w="756"/>
        <w:gridCol w:w="756"/>
        <w:gridCol w:w="756"/>
        <w:gridCol w:w="756"/>
      </w:tblGrid>
      <w:tr>
        <w:tc>
          <w:tcPr>
            <w:tcW w:type="dxa" w:w="1862"/>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 по горизонтали (в свету) от подземных сетей до</w:t>
            </w:r>
          </w:p>
        </w:tc>
      </w:tr>
      <w:tr>
        <w:tc>
          <w:tcPr>
            <w:tcW w:type="dxa" w:w="1862"/>
            <w:gridSpan w:val="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Инженерные сети</w:t>
            </w:r>
          </w:p>
        </w:tc>
        <w:tc>
          <w:tcPr>
            <w:tcW w:type="dxa" w:w="7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 ментов зданий и соору- жений</w:t>
            </w:r>
          </w:p>
        </w:tc>
        <w:tc>
          <w:tcPr>
            <w:tcW w:type="dxa" w:w="151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фундаментов ограждений предприятий, эстакад, опор контактной сети и связи, железных дорог</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оси крайнего пути</w:t>
            </w:r>
          </w:p>
        </w:tc>
        <w:tc>
          <w:tcPr>
            <w:tcW w:type="dxa" w:w="7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бортового камня улицы, дороги (кромки проезжей части, укрепленной полосы обочины)</w:t>
            </w:r>
          </w:p>
        </w:tc>
        <w:tc>
          <w:tcPr>
            <w:tcW w:type="dxa" w:w="7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наружной бровки кювета или подошвы насыпи дороги</w:t>
            </w:r>
          </w:p>
        </w:tc>
        <w:tc>
          <w:tcPr>
            <w:tcW w:type="dxa" w:w="302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фундаментов опор воздушных линий электро- передачи напряжением</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железных дорог колеи 1520 мм, но не менее глубины траншеи до подошвы насыпи и бровки выемки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железных дорог колеи 750 мм и трамвая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 кВ наружного освещения, контактной сети трамваев и троллейбу-сов</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1 до 35 кВ</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35 до 110 кВ и выше</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 и напорная канализация</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Самотечная канализация (бытовая и дождевая)</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Дренаж</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Сопутствующий дренаж</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Газопроводы газов </w:t>
            </w:r>
            <w:r>
              <w:rPr>
                <w:rFonts w:ascii="Arial" w:cs="Arial" w:eastAsia="Arial" w:hAnsi="Arial"/>
                <w:sz w:val="24"/>
                <w:szCs w:val="24"/>
              </w:rPr>
              <w:t xml:space="preserve">Н</w:t>
            </w:r>
            <w:r>
              <w:rPr>
                <w:rFonts w:ascii="Arial" w:cs="Arial" w:eastAsia="Arial" w:hAnsi="Arial"/>
                <w:sz w:val="24"/>
                <w:szCs w:val="24"/>
              </w:rPr>
              <w:t xml:space="preserve">изкого до 0,005 (0,05)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Среднего св. 0,005 (0,05) до 0,3 (3)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r>
              <w:rPr>
                <w:rFonts w:ascii="Arial" w:cs="Arial" w:eastAsia="Arial" w:hAnsi="Arial"/>
                <w:sz w:val="24"/>
                <w:szCs w:val="24"/>
              </w:rPr>
              <w:t xml:space="preserve">ысокого с</w:t>
            </w:r>
            <w:r>
              <w:rPr>
                <w:rFonts w:ascii="Arial" w:cs="Arial" w:eastAsia="Arial" w:hAnsi="Arial"/>
                <w:sz w:val="24"/>
                <w:szCs w:val="24"/>
              </w:rPr>
              <w:t xml:space="preserve">в. 0,3 до 0,6 (6)</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r>
              <w:rPr>
                <w:rFonts w:ascii="Arial" w:cs="Arial" w:eastAsia="Arial" w:hAnsi="Arial"/>
                <w:sz w:val="24"/>
                <w:szCs w:val="24"/>
              </w:rPr>
              <w:t xml:space="preserve">ысокого с</w:t>
            </w:r>
            <w:r>
              <w:rPr>
                <w:rFonts w:ascii="Arial" w:cs="Arial" w:eastAsia="Arial" w:hAnsi="Arial"/>
                <w:sz w:val="24"/>
                <w:szCs w:val="24"/>
              </w:rPr>
              <w:t xml:space="preserve">в</w:t>
            </w:r>
            <w:r>
              <w:rPr>
                <w:rFonts w:ascii="Arial" w:cs="Arial" w:eastAsia="Arial" w:hAnsi="Arial"/>
                <w:sz w:val="24"/>
                <w:szCs w:val="24"/>
              </w:rPr>
              <w:t xml:space="preserve">. 0,6 (6) до 1,2 (12)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Тепловые сети: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наружной стенки канала, тоннеля</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(см. при-меч.1.3)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оболочки бесканальной прокладки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силовые всех направлений и кабели связи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Каналы, коммуникацион- ные тоннели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Наружные </w:t>
            </w:r>
          </w:p>
          <w:p>
            <w:pPr>
              <w:jc w:val="both"/>
            </w:pPr>
            <w:r>
              <w:rPr>
                <w:rFonts w:ascii="Arial" w:cs="Arial" w:eastAsia="Arial" w:hAnsi="Arial"/>
                <w:sz w:val="24"/>
                <w:szCs w:val="24"/>
              </w:rPr>
              <w:t xml:space="preserve"> пневмомусоропроводы</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*Относится только к расстояниям от силовых кабелей.</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1.1. Для климатических подрайонов 1А, 1Г расстояние от подземных сетей (водопровода, бытовой и дождевой канализации, дренажей, тепловых сетей) при строительства с сохранением вечномерзлого состояния грунтов оснований следует принимать по техническому расчету.</w:t>
      </w:r>
    </w:p>
    <w:p>
      <w:pPr>
        <w:spacing w:after="120"/>
        <w:ind w:firstLine="397"/>
        <w:jc w:val="both"/>
      </w:pPr>
      <w:r>
        <w:rPr>
          <w:rFonts w:ascii="Arial" w:cs="Arial" w:eastAsia="Arial" w:hAnsi="Arial"/>
          <w:sz w:val="24"/>
          <w:szCs w:val="24"/>
        </w:rPr>
        <w:t xml:space="preserve">1.2.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их расстояние до здания сооружений следует устанавливать с учетом зоны возможного нарушения прочности грунтов оснований.</w:t>
      </w:r>
    </w:p>
    <w:p>
      <w:pPr>
        <w:spacing w:after="120"/>
        <w:ind w:firstLine="397"/>
        <w:jc w:val="both"/>
      </w:pPr>
      <w:r>
        <w:rPr>
          <w:rFonts w:ascii="Arial" w:cs="Arial" w:eastAsia="Arial" w:hAnsi="Arial"/>
          <w:sz w:val="24"/>
          <w:szCs w:val="24"/>
        </w:rPr>
        <w:t xml:space="preserve">1.3. Расстояние тепловых сетей при бесканальной прокладке до зданий и сооружений следует принимать как для водопровода.</w:t>
      </w:r>
    </w:p>
    <w:p>
      <w:pPr>
        <w:spacing w:after="120"/>
        <w:ind w:firstLine="397"/>
        <w:jc w:val="both"/>
      </w:pPr>
      <w:r>
        <w:rPr>
          <w:rFonts w:ascii="Arial" w:cs="Arial" w:eastAsia="Arial" w:hAnsi="Arial"/>
          <w:sz w:val="24"/>
          <w:szCs w:val="24"/>
        </w:rPr>
        <w:t xml:space="preserve">1.4. Расстояние от силовых кабелей напряжением ПО - 220 кВ до фундаментов ограждений предприятий, эстакад, опор контактной сети и линий связи следует принимать 1,5 м.</w:t>
      </w:r>
    </w:p>
    <w:p>
      <w:pPr>
        <w:spacing w:after="120"/>
        <w:ind w:firstLine="397"/>
        <w:jc w:val="both"/>
      </w:pPr>
      <w:r>
        <w:rPr>
          <w:rFonts w:ascii="Arial" w:cs="Arial" w:eastAsia="Arial" w:hAnsi="Arial"/>
          <w:sz w:val="24"/>
          <w:szCs w:val="24"/>
        </w:rPr>
        <w:t xml:space="preserve">1.5. В орошаемых районах при непросадочных грунтах расстояние от подземных инженерных сетей до оросительных каналов следует принимать (до бровки канала), м:</w:t>
      </w:r>
    </w:p>
    <w:p>
      <w:pPr>
        <w:spacing w:after="120"/>
        <w:ind w:firstLine="397"/>
        <w:jc w:val="both"/>
      </w:pPr>
      <w:r>
        <w:rPr>
          <w:rFonts w:ascii="Arial" w:cs="Arial" w:eastAsia="Arial" w:hAnsi="Arial"/>
          <w:sz w:val="24"/>
          <w:szCs w:val="24"/>
        </w:rPr>
        <w:t xml:space="preserve">1-от газопровода низкого и среднего давления, а также от водопроводов, канализации, водостоков и трубопроводов горючих жидкостей; </w:t>
      </w:r>
    </w:p>
    <w:p>
      <w:pPr>
        <w:spacing w:after="120"/>
        <w:ind w:firstLine="397"/>
        <w:jc w:val="both"/>
      </w:pPr>
      <w:r>
        <w:rPr>
          <w:rFonts w:ascii="Arial" w:cs="Arial" w:eastAsia="Arial" w:hAnsi="Arial"/>
          <w:sz w:val="24"/>
          <w:szCs w:val="24"/>
        </w:rPr>
        <w:t xml:space="preserve">2-от газопроводов высокого давления до 0,6 МПа (6 кгс/см2) , теплопроводов, хозяйственно-бытовой и дождевой канализации;</w:t>
      </w:r>
    </w:p>
    <w:p>
      <w:pPr>
        <w:spacing w:after="120"/>
        <w:ind w:firstLine="397"/>
        <w:jc w:val="both"/>
      </w:pPr>
      <w:r>
        <w:rPr>
          <w:rFonts w:ascii="Arial" w:cs="Arial" w:eastAsia="Arial" w:hAnsi="Arial"/>
          <w:sz w:val="24"/>
          <w:szCs w:val="24"/>
        </w:rPr>
        <w:t xml:space="preserve">1,5-от силовых кабелей и кабелей связи; </w:t>
      </w:r>
    </w:p>
    <w:p>
      <w:pPr>
        <w:spacing w:after="120"/>
        <w:ind w:firstLine="397"/>
        <w:jc w:val="both"/>
      </w:pPr>
      <w:r>
        <w:rPr>
          <w:rFonts w:ascii="Arial" w:cs="Arial" w:eastAsia="Arial" w:hAnsi="Arial"/>
          <w:sz w:val="24"/>
          <w:szCs w:val="24"/>
        </w:rPr>
        <w:t xml:space="preserve">расстояние от оросительных каналов уличной сети до фундаментов зданий и сооружений – 5 м.</w:t>
      </w:r>
    </w:p>
    <w:p>
      <w:pPr>
        <w:spacing w:after="120"/>
        <w:ind w:firstLine="397"/>
        <w:jc w:val="both"/>
      </w:pPr>
      <w:r>
        <w:rPr>
          <w:rFonts w:ascii="Arial" w:cs="Arial" w:eastAsia="Arial" w:hAnsi="Arial"/>
          <w:sz w:val="24"/>
          <w:szCs w:val="24"/>
        </w:rPr>
        <w:t xml:space="preserve">1.6. В стесненных и сложных технических условиях допускается уменьшение вышеуказанных расстояний, если предусматривается проектом мероприятии обеспечивающие безопасность и нормальной эксплуатации.</w:t>
      </w:r>
    </w:p>
    <w:p>
      <w:pPr>
        <w:spacing w:after="120"/>
        <w:ind w:firstLine="397"/>
        <w:jc w:val="both"/>
      </w:pPr>
      <w:r>
        <w:rPr>
          <w:rFonts w:ascii="Arial" w:cs="Arial" w:eastAsia="Arial" w:hAnsi="Arial"/>
          <w:sz w:val="24"/>
          <w:szCs w:val="24"/>
        </w:rPr>
        <w:t xml:space="preserve">Таблица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3"/>
        <w:gridCol w:w="580"/>
        <w:gridCol w:w="580"/>
        <w:gridCol w:w="580"/>
        <w:gridCol w:w="580"/>
        <w:gridCol w:w="580"/>
        <w:gridCol w:w="580"/>
        <w:gridCol w:w="580"/>
        <w:gridCol w:w="580"/>
        <w:gridCol w:w="580"/>
        <w:gridCol w:w="580"/>
        <w:gridCol w:w="580"/>
        <w:gridCol w:w="580"/>
        <w:gridCol w:w="580"/>
        <w:gridCol w:w="580"/>
        <w:gridCol w:w="580"/>
      </w:tblGrid>
      <w:tr>
        <w:tc>
          <w:tcPr>
            <w:tcW w:type="dxa" w:w="148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Инженерные сети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700"/>
            <w:gridSpan w:val="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 по горизонтали (в свету) до</w:t>
            </w:r>
          </w:p>
        </w:tc>
      </w:tr>
      <w:tr>
        <w:tc>
          <w:tcPr>
            <w:vMerge w:val="continue"/>
            <w:tcBorders>
              <w:top w:val="single" w:color="CBBF9E" w:sz="4"/>
              <w:left w:val="single" w:color="CBBF9E" w:sz="4"/>
              <w:bottom w:val="single" w:color="CBBF9E" w:sz="4"/>
              <w:right w:val="single" w:color="CBBF9E" w:sz="4"/>
            </w:tcBorders>
          </w:tcP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водопровода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канализа-ции бытовой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дрена-жа и дожде-вой канализации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2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газопроводов давления, Мпа (кгс/ см2)</w:t>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кабе- лей сило-вых всех напряжении ении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кабе-лей связи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4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тепловых сетей</w:t>
            </w:r>
          </w:p>
        </w:tc>
        <w:tc>
          <w:tcPr>
            <w:tcW w:type="dxa" w:w="1160"/>
            <w:gridSpan w:val="2"/>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каналов тоннеля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 ных пневмомусоро проводов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 кого до 0,005 (0.05)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 него св. 0,005 (0,05) до 0,3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высокого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наружная стенка канала, тон неля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60"/>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 лочка беска-наль- ной прок-ладки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св.0.3 (3)до 0,6 (6)</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0.6 (6) до 1,2 (12)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Примечан. 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w:t>
            </w:r>
          </w:p>
          <w:p>
            <w:pPr>
              <w:jc w:val="both"/>
            </w:pPr>
            <w:r>
              <w:rPr>
                <w:rFonts w:ascii="Arial" w:cs="Arial" w:eastAsia="Arial" w:hAnsi="Arial"/>
                <w:sz w:val="24"/>
                <w:szCs w:val="24"/>
              </w:rPr>
              <w:t xml:space="preserve">Прим. 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Канализация бытовая</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Примечан. 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Дождевая канализация</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Газопроводы давления, МПа (кгс/ см2): </w:t>
            </w:r>
          </w:p>
          <w:p>
            <w:pPr>
              <w:jc w:val="both"/>
            </w:pPr>
            <w:r>
              <w:rPr>
                <w:rFonts w:ascii="Arial" w:cs="Arial" w:eastAsia="Arial" w:hAnsi="Arial"/>
                <w:sz w:val="24"/>
                <w:szCs w:val="24"/>
              </w:rPr>
              <w:t xml:space="preserve">низкого до 0,005 (0,05) среднего св. 0,005 (0,05) до 0,3 (3) высокого св. 0,3 (3) до 0,6 (6)</w:t>
            </w:r>
          </w:p>
          <w:p>
            <w:pPr>
              <w:jc w:val="both"/>
            </w:pPr>
            <w:r>
              <w:rPr>
                <w:rFonts w:ascii="Arial" w:cs="Arial" w:eastAsia="Arial" w:hAnsi="Arial"/>
                <w:sz w:val="24"/>
                <w:szCs w:val="24"/>
              </w:rPr>
              <w:t xml:space="preserve">высокого св. 0,6 (6) до 1,2 (12)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w:t>
            </w:r>
          </w:p>
          <w:p>
            <w:pPr>
              <w:jc w:val="both"/>
            </w:pPr>
            <w:r>
              <w:rPr>
                <w:rFonts w:ascii="Arial" w:cs="Arial" w:eastAsia="Arial" w:hAnsi="Arial"/>
                <w:sz w:val="24"/>
                <w:szCs w:val="24"/>
              </w:rPr>
              <w:t xml:space="preserve"> 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4</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2</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силовые всех напряжений</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связи</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Тепловые сети:</w:t>
            </w:r>
          </w:p>
          <w:p>
            <w:pPr>
              <w:jc w:val="both"/>
            </w:pPr>
            <w:r>
              <w:rPr>
                <w:rFonts w:ascii="Arial" w:cs="Arial" w:eastAsia="Arial" w:hAnsi="Arial"/>
                <w:sz w:val="24"/>
                <w:szCs w:val="24"/>
              </w:rPr>
              <w:t xml:space="preserve">от наружной стенки</w:t>
            </w:r>
          </w:p>
          <w:p>
            <w:pPr>
              <w:jc w:val="both"/>
            </w:pPr>
            <w:r>
              <w:rPr>
                <w:rFonts w:ascii="Arial" w:cs="Arial" w:eastAsia="Arial" w:hAnsi="Arial"/>
                <w:sz w:val="24"/>
                <w:szCs w:val="24"/>
              </w:rPr>
              <w:t xml:space="preserve">канала,</w:t>
            </w:r>
          </w:p>
          <w:p>
            <w:pPr>
              <w:jc w:val="both"/>
            </w:pPr>
            <w:r>
              <w:rPr>
                <w:rFonts w:ascii="Arial" w:cs="Arial" w:eastAsia="Arial" w:hAnsi="Arial"/>
                <w:sz w:val="24"/>
                <w:szCs w:val="24"/>
              </w:rPr>
              <w:t xml:space="preserve">тоннеля</w:t>
            </w:r>
          </w:p>
          <w:p>
            <w:pPr>
              <w:jc w:val="both"/>
            </w:pPr>
            <w:r>
              <w:rPr>
                <w:rFonts w:ascii="Arial" w:cs="Arial" w:eastAsia="Arial" w:hAnsi="Arial"/>
                <w:sz w:val="24"/>
                <w:szCs w:val="24"/>
              </w:rPr>
              <w:t xml:space="preserve">от оболочки</w:t>
            </w:r>
          </w:p>
          <w:p>
            <w:pPr>
              <w:jc w:val="both"/>
            </w:pPr>
            <w:r>
              <w:rPr>
                <w:rFonts w:ascii="Arial" w:cs="Arial" w:eastAsia="Arial" w:hAnsi="Arial"/>
                <w:sz w:val="24"/>
                <w:szCs w:val="24"/>
              </w:rPr>
              <w:t xml:space="preserve">бесканальной</w:t>
            </w:r>
          </w:p>
          <w:p>
            <w:pPr>
              <w:jc w:val="both"/>
            </w:pPr>
            <w:r>
              <w:rPr>
                <w:rFonts w:ascii="Arial" w:cs="Arial" w:eastAsia="Arial" w:hAnsi="Arial"/>
                <w:sz w:val="24"/>
                <w:szCs w:val="24"/>
              </w:rPr>
              <w:t xml:space="preserve">прокладки</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Каналы, тоннели</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Наружные</w:t>
            </w:r>
          </w:p>
          <w:p>
            <w:pPr>
              <w:jc w:val="both"/>
            </w:pPr>
            <w:r>
              <w:rPr>
                <w:rFonts w:ascii="Arial" w:cs="Arial" w:eastAsia="Arial" w:hAnsi="Arial"/>
                <w:sz w:val="24"/>
                <w:szCs w:val="24"/>
              </w:rPr>
              <w:t xml:space="preserve">пневмомусоропроводы</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4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В соответствии с требованиями раздела 2 правил устройства </w:t>
      </w:r>
      <w:r>
        <w:rPr>
          <w:rFonts w:ascii="Arial" w:cs="Arial" w:eastAsia="Arial" w:hAnsi="Arial"/>
          <w:sz w:val="24"/>
          <w:szCs w:val="24"/>
        </w:rPr>
        <w:t xml:space="preserve">электроустановок (ПУЭ).</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1.1 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w:t>
      </w:r>
    </w:p>
    <w:p>
      <w:pPr>
        <w:spacing w:after="120"/>
        <w:ind w:firstLine="397"/>
        <w:jc w:val="both"/>
      </w:pPr>
      <w:r>
        <w:rPr>
          <w:rFonts w:ascii="Arial" w:cs="Arial" w:eastAsia="Arial" w:hAnsi="Arial"/>
          <w:sz w:val="24"/>
          <w:szCs w:val="24"/>
        </w:rPr>
        <w:t xml:space="preserve">1.2. Расстояние от бытовой канализации до хозяйственно-питьевого водопровода следут принимать, м: до водопровода из чугунных труб диаметром до 200 мм - 1,5, диметром свыше 200 мм - 3; до водопровода из пластмассовых труб - 1,5.</w:t>
      </w:r>
    </w:p>
    <w:p>
      <w:pPr>
        <w:spacing w:after="120"/>
        <w:ind w:firstLine="397"/>
        <w:jc w:val="both"/>
      </w:pPr>
      <w:r>
        <w:rPr>
          <w:rFonts w:ascii="Arial" w:cs="Arial" w:eastAsia="Arial" w:hAnsi="Arial"/>
          <w:sz w:val="24"/>
          <w:szCs w:val="24"/>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не менее 1,5 м.</w:t>
      </w:r>
    </w:p>
    <w:p>
      <w:pPr>
        <w:spacing w:after="120"/>
        <w:ind w:firstLine="397"/>
        <w:jc w:val="both"/>
      </w:pPr>
      <w:r>
        <w:rPr>
          <w:rFonts w:ascii="Arial" w:cs="Arial" w:eastAsia="Arial" w:hAnsi="Arial"/>
          <w:sz w:val="24"/>
          <w:szCs w:val="24"/>
        </w:rPr>
        <w:t xml:space="preserve">1.3.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2 или более газопроводов.</w:t>
      </w:r>
    </w:p>
    <w:p>
      <w:pPr>
        <w:spacing w:after="120"/>
        <w:ind w:firstLine="397"/>
        <w:jc w:val="both"/>
      </w:pPr>
      <w:r>
        <w:rPr>
          <w:rFonts w:ascii="Arial" w:cs="Arial" w:eastAsia="Arial" w:hAnsi="Arial"/>
          <w:sz w:val="24"/>
          <w:szCs w:val="24"/>
        </w:rPr>
        <w:t xml:space="preserve">1.4. Допускается прокладка магистральных инженерных сетей под и внутри здания, в исключительных случаях, при устройстве проходного канала не связанного с основной конструкцией здания.</w:t>
      </w:r>
    </w:p>
    <w:p>
      <w:pPr>
        <w:spacing w:after="240" w:before="200"/>
        <w:jc w:val="center"/>
      </w:pPr>
      <w:r>
        <w:rPr>
          <w:rFonts w:ascii="Arial" w:cs="Arial" w:eastAsia="Arial" w:hAnsi="Arial"/>
          <w:b/>
          <w:bCs/>
          <w:sz w:val="32"/>
          <w:szCs w:val="32"/>
        </w:rPr>
        <w:t xml:space="preserve">11. Инженерная подготовка и защита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w:t>
      </w:r>
    </w:p>
    <w:p>
      <w:pPr>
        <w:spacing w:after="120"/>
        <w:ind w:firstLine="397"/>
        <w:jc w:val="both"/>
      </w:pPr>
      <w:r>
        <w:rPr>
          <w:rFonts w:ascii="Arial" w:cs="Arial" w:eastAsia="Arial" w:hAnsi="Arial"/>
          <w:sz w:val="24"/>
          <w:szCs w:val="24"/>
        </w:rPr>
        <w:t xml:space="preserve">При разработке проектов планировки и застройки городских населенных пунктов следует предусматривать, при необходимости, инженерную защиту от затопления, подтопления, селевых потоков, снежных лавин, оползней и обвалов.</w:t>
      </w:r>
    </w:p>
    <w:p>
      <w:pPr>
        <w:spacing w:after="120"/>
        <w:ind w:firstLine="397"/>
        <w:jc w:val="both"/>
      </w:pPr>
      <w:r>
        <w:rPr>
          <w:rFonts w:ascii="Arial" w:cs="Arial" w:eastAsia="Arial" w:hAnsi="Arial"/>
          <w:sz w:val="24"/>
          <w:szCs w:val="24"/>
        </w:rPr>
        <w:t xml:space="preserve">11.2.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поверхности вод и проложения поливочных арыков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pPr>
        <w:spacing w:after="120"/>
        <w:ind w:firstLine="397"/>
        <w:jc w:val="both"/>
      </w:pPr>
      <w:r>
        <w:rPr>
          <w:rFonts w:ascii="Arial" w:cs="Arial" w:eastAsia="Arial" w:hAnsi="Arial"/>
          <w:sz w:val="24"/>
          <w:szCs w:val="24"/>
        </w:rPr>
        <w:t xml:space="preserve">11.3. Отвод поверхностных вод следует осуществлять со всего бассейна (стоки в водоемы, водостоки, овраги и т.п.), предусматривая в населенных пунктах, городах, дождевую канализацию закрытого типа с предварительной очисткой стока.</w:t>
      </w:r>
    </w:p>
    <w:p>
      <w:pPr>
        <w:spacing w:after="120"/>
        <w:ind w:firstLine="397"/>
        <w:jc w:val="both"/>
      </w:pPr>
      <w:r>
        <w:rPr>
          <w:rFonts w:ascii="Arial" w:cs="Arial" w:eastAsia="Arial" w:hAnsi="Arial"/>
          <w:sz w:val="24"/>
          <w:szCs w:val="24"/>
        </w:rPr>
        <w:t xml:space="preserve">При арычном поливе следует предусматривать водоотведение по арыкам с устройством мостиков или труб на пересечении с улицами, дорогами, проездами и тротуарами.</w:t>
      </w:r>
    </w:p>
    <w:p>
      <w:pPr>
        <w:spacing w:after="120"/>
        <w:ind w:firstLine="397"/>
        <w:jc w:val="both"/>
      </w:pPr>
      <w:r>
        <w:rPr>
          <w:rFonts w:ascii="Arial" w:cs="Arial" w:eastAsia="Arial" w:hAnsi="Arial"/>
          <w:sz w:val="24"/>
          <w:szCs w:val="24"/>
        </w:rPr>
        <w:t xml:space="preserve">11.4. На территории населенных пунктов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городов, населенных пунктов, на территориях стадионов, парков и других озелененных территорий общего пользования допускается открытая осушительная сеть.</w:t>
      </w:r>
    </w:p>
    <w:p>
      <w:pPr>
        <w:spacing w:after="120"/>
        <w:ind w:firstLine="397"/>
        <w:jc w:val="both"/>
      </w:pPr>
      <w:r>
        <w:rPr>
          <w:rFonts w:ascii="Arial" w:cs="Arial" w:eastAsia="Arial" w:hAnsi="Arial"/>
          <w:sz w:val="24"/>
          <w:szCs w:val="24"/>
        </w:rPr>
        <w:t xml:space="preserve">Указанные мероприятия должны обеспечивать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pPr>
        <w:spacing w:after="120"/>
        <w:ind w:firstLine="397"/>
        <w:jc w:val="both"/>
      </w:pPr>
      <w:r>
        <w:rPr>
          <w:rFonts w:ascii="Arial" w:cs="Arial" w:eastAsia="Arial" w:hAnsi="Arial"/>
          <w:sz w:val="24"/>
          <w:szCs w:val="24"/>
        </w:rPr>
        <w:t xml:space="preserve">11.5.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w:t>
      </w:r>
    </w:p>
    <w:p>
      <w:pPr>
        <w:spacing w:after="120"/>
        <w:ind w:firstLine="397"/>
        <w:jc w:val="both"/>
      </w:pPr>
      <w:r>
        <w:rPr>
          <w:rFonts w:ascii="Arial" w:cs="Arial" w:eastAsia="Arial" w:hAnsi="Arial"/>
          <w:sz w:val="24"/>
          <w:szCs w:val="24"/>
        </w:rPr>
        <w:t xml:space="preserve">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зданиями; один раз в 10 лет - для территорий парков и плоскостных спортивных сооружений.</w:t>
      </w:r>
    </w:p>
    <w:p>
      <w:pPr>
        <w:spacing w:after="120"/>
        <w:ind w:firstLine="397"/>
        <w:jc w:val="both"/>
      </w:pPr>
      <w:r>
        <w:rPr>
          <w:rFonts w:ascii="Arial" w:cs="Arial" w:eastAsia="Arial" w:hAnsi="Arial"/>
          <w:sz w:val="24"/>
          <w:szCs w:val="24"/>
        </w:rPr>
        <w:t xml:space="preserve">11.6. Для защиты существующей застройки в селеопасной зоне необходимо предусматривать максимальное сохранение леса, посадку древесно-кустарниковой растительности, террасирование склонов, укрепление берегов селеносных рек, сооружений плотин и запруд в зоне формирования селя, строительство селенаправляющих дамб и отводящих каналов на конусе выноса.</w:t>
      </w:r>
    </w:p>
    <w:p>
      <w:pPr>
        <w:spacing w:after="120"/>
        <w:ind w:firstLine="397"/>
        <w:jc w:val="both"/>
      </w:pPr>
      <w:r>
        <w:rPr>
          <w:rFonts w:ascii="Arial" w:cs="Arial" w:eastAsia="Arial" w:hAnsi="Arial"/>
          <w:sz w:val="24"/>
          <w:szCs w:val="24"/>
        </w:rPr>
        <w:t xml:space="preserve">11.7. 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pPr>
        <w:spacing w:after="120"/>
        <w:ind w:firstLine="397"/>
        <w:jc w:val="both"/>
      </w:pPr>
      <w:r>
        <w:rPr>
          <w:rFonts w:ascii="Arial" w:cs="Arial" w:eastAsia="Arial" w:hAnsi="Arial"/>
          <w:sz w:val="24"/>
          <w:szCs w:val="24"/>
        </w:rPr>
        <w:t xml:space="preserve">Территории оврагов используются для размещения транспортных сооружений, гаражей, складов и коммунальных объектов, а также устройство парков.</w:t>
      </w:r>
    </w:p>
    <w:p>
      <w:pPr>
        <w:spacing w:after="120"/>
        <w:ind w:firstLine="397"/>
        <w:jc w:val="both"/>
      </w:pPr>
      <w:r>
        <w:rPr>
          <w:rFonts w:ascii="Arial" w:cs="Arial" w:eastAsia="Arial" w:hAnsi="Arial"/>
          <w:sz w:val="24"/>
          <w:szCs w:val="24"/>
        </w:rPr>
        <w:t xml:space="preserve">11.8. В городах и населенных пунктах, расположенных на территориях, подверженных оползневым процессам, необходимо предусматривать упорядочение поверхностного стока, перехват потоков грунтовых вод, предохранение естественного контрфорса оползневого массива от разрушения, повышение устойчивости откоса механическими и физико-химическими средствами, террасирование склонов, посадку зеленых насаждений. Противооползневые мероприятия следует осуществлять на основе комплексного изучения геологических и гидрогеологических условий районов.</w:t>
      </w:r>
    </w:p>
    <w:p>
      <w:pPr>
        <w:spacing w:after="240" w:before="200"/>
        <w:jc w:val="center"/>
      </w:pPr>
      <w:r>
        <w:rPr>
          <w:rFonts w:ascii="Arial" w:cs="Arial" w:eastAsia="Arial" w:hAnsi="Arial"/>
          <w:b/>
          <w:bCs/>
          <w:sz w:val="32"/>
          <w:szCs w:val="32"/>
        </w:rPr>
        <w:t xml:space="preserve">12. Охрана окружающей среды и рациональное использование природных 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Территорию для строительства новых и развития существующих городов и населенных пунктов в соответствии с земельным кодексом Кыргызской Республики следует предусматривать на землях, не пригодных для сельскохозяйственного использования. </w:t>
      </w:r>
    </w:p>
    <w:p>
      <w:pPr>
        <w:spacing w:after="120"/>
        <w:ind w:firstLine="397"/>
        <w:jc w:val="both"/>
      </w:pPr>
      <w:r>
        <w:rPr>
          <w:rFonts w:ascii="Arial" w:cs="Arial" w:eastAsia="Arial" w:hAnsi="Arial"/>
          <w:sz w:val="24"/>
          <w:szCs w:val="24"/>
        </w:rPr>
        <w:t xml:space="preserve">Размещение застройки на орошаемых и осушенных землях, пашне, земельных участках, занятых многолетними плодовыми насаждениями и виноградниками, а также на землях, занятых водоохранными защитными и другими лесами I группы, допускается в исключительных случаях в соответствии с Земельным кодексом Кыргызской Республики, а на землях с высокими показателями их оценки – запрещается. </w:t>
      </w:r>
    </w:p>
    <w:p>
      <w:pPr>
        <w:spacing w:after="120"/>
        <w:ind w:firstLine="397"/>
        <w:jc w:val="both"/>
      </w:pPr>
      <w:r>
        <w:rPr>
          <w:rFonts w:ascii="Arial" w:cs="Arial" w:eastAsia="Arial" w:hAnsi="Arial"/>
          <w:sz w:val="24"/>
          <w:szCs w:val="24"/>
        </w:rPr>
        <w:t xml:space="preserve">12.2. Запрещается проектирование и строительство населенных пунктов, промышленных комплексов и других объектов до получения от соответствующей территориальной геологической организации данных об отсутствии полезных ископаемых в недрах под участком предстоящей застройки.</w:t>
      </w:r>
    </w:p>
    <w:p>
      <w:pPr>
        <w:spacing w:after="120"/>
        <w:ind w:firstLine="397"/>
        <w:jc w:val="both"/>
      </w:pPr>
      <w:r>
        <w:rPr>
          <w:rFonts w:ascii="Arial" w:cs="Arial" w:eastAsia="Arial" w:hAnsi="Arial"/>
          <w:sz w:val="24"/>
          <w:szCs w:val="24"/>
        </w:rPr>
        <w:t xml:space="preserve">Застройка площадей залеганий полезных ископаемых, а также размещение в местах их залегания подземных сооружений допускается с разрешения государственного уполномоченного органа геологии и минеральных ресурсов при условии обеспечения возможности извлечения полезных ископаемых или доказанности экономической целесообразности застройки.</w:t>
      </w:r>
    </w:p>
    <w:p>
      <w:pPr>
        <w:spacing w:after="120"/>
        <w:ind w:firstLine="397"/>
        <w:jc w:val="both"/>
      </w:pPr>
      <w:r>
        <w:rPr>
          <w:rFonts w:ascii="Arial" w:cs="Arial" w:eastAsia="Arial" w:hAnsi="Arial"/>
          <w:sz w:val="24"/>
          <w:szCs w:val="24"/>
        </w:rPr>
        <w:t xml:space="preserve">12.3. Размещение зданий, сооружений и коммуникаций не допускается:</w:t>
      </w:r>
    </w:p>
    <w:p>
      <w:pPr>
        <w:spacing w:after="120"/>
        <w:ind w:firstLine="397"/>
        <w:jc w:val="both"/>
      </w:pPr>
      <w:r>
        <w:rPr>
          <w:rFonts w:ascii="Arial" w:cs="Arial" w:eastAsia="Arial" w:hAnsi="Arial"/>
          <w:sz w:val="24"/>
          <w:szCs w:val="24"/>
        </w:rPr>
        <w:t xml:space="preserve">на землях заповедников, заказников, природных национальных парков, ботанических садов, дендрологических парков и водоохранных полос (зон);</w:t>
      </w:r>
    </w:p>
    <w:p>
      <w:pPr>
        <w:spacing w:after="120"/>
        <w:ind w:firstLine="397"/>
        <w:jc w:val="both"/>
      </w:pPr>
      <w:r>
        <w:rPr>
          <w:rFonts w:ascii="Arial" w:cs="Arial" w:eastAsia="Arial" w:hAnsi="Arial"/>
          <w:sz w:val="24"/>
          <w:szCs w:val="24"/>
        </w:rPr>
        <w:t xml:space="preserve">на землях зеленых зон городов, включая земли городских лесов, если проектируемые объекты не предназначены для отдыха, спорта или обслуживания пригородного лесного хозяйства;</w:t>
      </w:r>
    </w:p>
    <w:p>
      <w:pPr>
        <w:spacing w:after="120"/>
        <w:ind w:firstLine="397"/>
        <w:jc w:val="both"/>
      </w:pPr>
      <w:r>
        <w:rPr>
          <w:rFonts w:ascii="Arial" w:cs="Arial" w:eastAsia="Arial" w:hAnsi="Arial"/>
          <w:sz w:val="24"/>
          <w:szCs w:val="24"/>
        </w:rPr>
        <w:t xml:space="preserve">в зонах охраны гидрометеорологических станций;</w:t>
      </w:r>
    </w:p>
    <w:p>
      <w:pPr>
        <w:spacing w:after="120"/>
        <w:ind w:firstLine="397"/>
        <w:jc w:val="both"/>
      </w:pPr>
      <w:r>
        <w:rPr>
          <w:rFonts w:ascii="Arial" w:cs="Arial" w:eastAsia="Arial" w:hAnsi="Arial"/>
          <w:sz w:val="24"/>
          <w:szCs w:val="24"/>
        </w:rPr>
        <w:t xml:space="preserve">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w:t>
      </w:r>
    </w:p>
    <w:p>
      <w:pPr>
        <w:spacing w:after="120"/>
        <w:ind w:firstLine="397"/>
        <w:jc w:val="both"/>
      </w:pPr>
      <w:r>
        <w:rPr>
          <w:rFonts w:ascii="Arial" w:cs="Arial" w:eastAsia="Arial" w:hAnsi="Arial"/>
          <w:sz w:val="24"/>
          <w:szCs w:val="24"/>
        </w:rPr>
        <w:t xml:space="preserve">в первой зоне округа санитарной охраны курортов, если проектируемые объекты не связаны с эксплуатацией природных лечебных средств курортов;</w:t>
      </w:r>
    </w:p>
    <w:p>
      <w:pPr>
        <w:spacing w:after="120"/>
        <w:ind w:firstLine="397"/>
        <w:jc w:val="both"/>
      </w:pPr>
      <w:r>
        <w:rPr>
          <w:rFonts w:ascii="Arial" w:cs="Arial" w:eastAsia="Arial" w:hAnsi="Arial"/>
          <w:sz w:val="24"/>
          <w:szCs w:val="24"/>
        </w:rPr>
        <w:t xml:space="preserve">Во второй зоне округа санитарной охраны курортов допускается размещать объекты, связанные с эксплуатацией, развитием и благоустройством курортов, а также объекты обслуживания населения курортов, если они не вызывают загрязнения атмосферы, почвы и вод, превышение нормативных уровней шума и напряжения электро-магнитного поля. В третьей зоне отдыха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pPr>
        <w:spacing w:after="120"/>
        <w:ind w:firstLine="397"/>
        <w:jc w:val="both"/>
      </w:pPr>
      <w:r>
        <w:rPr>
          <w:rFonts w:ascii="Arial" w:cs="Arial" w:eastAsia="Arial" w:hAnsi="Arial"/>
          <w:sz w:val="24"/>
          <w:szCs w:val="24"/>
        </w:rPr>
        <w:t xml:space="preserve">При этом не допускается:</w:t>
      </w:r>
    </w:p>
    <w:p>
      <w:pPr>
        <w:spacing w:after="120"/>
        <w:ind w:firstLine="397"/>
        <w:jc w:val="both"/>
      </w:pPr>
      <w:r>
        <w:rPr>
          <w:rFonts w:ascii="Arial" w:cs="Arial" w:eastAsia="Arial" w:hAnsi="Arial"/>
          <w:sz w:val="24"/>
          <w:szCs w:val="24"/>
        </w:rPr>
        <w:t xml:space="preserve">12.3.1. Размещение зданий и сооружений:</w:t>
      </w:r>
    </w:p>
    <w:p>
      <w:pPr>
        <w:spacing w:after="120"/>
        <w:ind w:firstLine="397"/>
        <w:jc w:val="both"/>
      </w:pPr>
      <w:r>
        <w:rPr>
          <w:rFonts w:ascii="Arial" w:cs="Arial" w:eastAsia="Arial" w:hAnsi="Arial"/>
          <w:sz w:val="24"/>
          <w:szCs w:val="24"/>
        </w:rPr>
        <w:t xml:space="preserve">на земельных участках, загрязненных органическими и радиоактивными отходами до истечения сроков, установленных органами санитарно-эпидемиологического надзора;</w:t>
      </w:r>
    </w:p>
    <w:p>
      <w:pPr>
        <w:spacing w:after="120"/>
        <w:ind w:firstLine="397"/>
        <w:jc w:val="both"/>
      </w:pPr>
      <w:r>
        <w:rPr>
          <w:rFonts w:ascii="Arial" w:cs="Arial" w:eastAsia="Arial" w:hAnsi="Arial"/>
          <w:sz w:val="24"/>
          <w:szCs w:val="24"/>
        </w:rPr>
        <w:t xml:space="preserve">в опасных зонах отвалов породы угольных, сланцевых шахт и обогатительных фабрик, оползней, селевых потоков и снежных лавин;</w:t>
      </w:r>
    </w:p>
    <w:p>
      <w:pPr>
        <w:spacing w:after="120"/>
        <w:ind w:firstLine="397"/>
        <w:jc w:val="both"/>
      </w:pPr>
      <w:r>
        <w:rPr>
          <w:rFonts w:ascii="Arial" w:cs="Arial" w:eastAsia="Arial" w:hAnsi="Arial"/>
          <w:sz w:val="24"/>
          <w:szCs w:val="24"/>
        </w:rPr>
        <w:t xml:space="preserve">в зонах возможного катастрофического затопления в результате разрушения плотин или дамб (зоной катастрофического затопления является территория, на которой затопление имеет глубину 1,5 м и более и повлечет за собой разрушение зданий и сооружений, гибель людей, вывод из строя оборудования предприятий);</w:t>
      </w:r>
    </w:p>
    <w:p>
      <w:pPr>
        <w:spacing w:after="120"/>
        <w:ind w:firstLine="397"/>
        <w:jc w:val="both"/>
      </w:pPr>
      <w:r>
        <w:rPr>
          <w:rFonts w:ascii="Arial" w:cs="Arial" w:eastAsia="Arial" w:hAnsi="Arial"/>
          <w:sz w:val="24"/>
          <w:szCs w:val="24"/>
        </w:rPr>
        <w:t xml:space="preserve">в сейсмических районах и зонах, непосредственно прилегающих к активным разломам; </w:t>
      </w:r>
    </w:p>
    <w:p>
      <w:pPr>
        <w:spacing w:after="120"/>
        <w:ind w:firstLine="397"/>
        <w:jc w:val="both"/>
      </w:pPr>
      <w:r>
        <w:rPr>
          <w:rFonts w:ascii="Arial" w:cs="Arial" w:eastAsia="Arial" w:hAnsi="Arial"/>
          <w:sz w:val="24"/>
          <w:szCs w:val="24"/>
        </w:rPr>
        <w:t xml:space="preserve">в охранных зонах магистральных трубопроводов.</w:t>
      </w:r>
    </w:p>
    <w:p>
      <w:pPr>
        <w:spacing w:after="120"/>
        <w:ind w:firstLine="397"/>
        <w:jc w:val="both"/>
      </w:pPr>
      <w:r>
        <w:rPr>
          <w:rFonts w:ascii="Arial" w:cs="Arial" w:eastAsia="Arial" w:hAnsi="Arial"/>
          <w:sz w:val="24"/>
          <w:szCs w:val="24"/>
        </w:rPr>
        <w:t xml:space="preserve">12.3.2. Размещение сельскохозяйственных предприятий, зданий и сооружений в охранных зонах заповедников допускается, если строительство указанных объектов или их эксплуатация не нарушает природных условий заповедников и не будет угрожать их сохранности. Условия размещения таких объектов должны быть согласованы с ведомствами, в ведении которых находятся эти заповедники.</w:t>
      </w:r>
    </w:p>
    <w:p>
      <w:pPr>
        <w:spacing w:after="120"/>
        <w:ind w:firstLine="397"/>
        <w:jc w:val="both"/>
      </w:pPr>
      <w:r>
        <w:rPr>
          <w:rFonts w:ascii="Arial" w:cs="Arial" w:eastAsia="Arial" w:hAnsi="Arial"/>
          <w:sz w:val="24"/>
          <w:szCs w:val="24"/>
        </w:rPr>
        <w:t xml:space="preserve">12.3.3. В целях обеспечения нормальной эксплуатации сооружений, устройств и других объектов транспорта могут устанавливаться охранные зоны в соответствии с действующими нормативными правовыми актами и сводом правил о землях транспорта.</w:t>
      </w:r>
    </w:p>
    <w:p>
      <w:pPr>
        <w:spacing w:after="120"/>
        <w:ind w:firstLine="397"/>
        <w:jc w:val="both"/>
      </w:pPr>
      <w:r>
        <w:rPr>
          <w:rFonts w:ascii="Arial" w:cs="Arial" w:eastAsia="Arial" w:hAnsi="Arial"/>
          <w:sz w:val="24"/>
          <w:szCs w:val="24"/>
        </w:rPr>
        <w:t xml:space="preserve">12.3.4. При размещении объектов оказывающих прямое, либо косвенное влияние на состояние окружающей природной среды, должны выполняться требования экологической безопасности и охраны здоровья населения, предусматриваться мероприятия по охране природы, рациональному использованию и воспроизводству природных ресурсов, оздоровлению окружающей природной среды.</w:t>
      </w:r>
    </w:p>
    <w:p>
      <w:pPr>
        <w:spacing w:after="120"/>
        <w:ind w:firstLine="397"/>
        <w:jc w:val="both"/>
      </w:pPr>
      <w:r>
        <w:rPr>
          <w:rFonts w:ascii="Arial" w:cs="Arial" w:eastAsia="Arial" w:hAnsi="Arial"/>
          <w:sz w:val="24"/>
          <w:szCs w:val="24"/>
        </w:rPr>
        <w:t xml:space="preserve">12.4. Леса зеленых зон городов, городские и курортные леса, относящиеся к лесам 1 группы, должны быть использованы в рекреационных, санитарно-гигиенических и оздоровительных целях. В заболоченных местах на территории населенных пунктов пригородных зон следует предусматривать гидролесомелиоративные мероприятия. </w:t>
      </w:r>
    </w:p>
    <w:p>
      <w:pPr>
        <w:spacing w:after="120"/>
        <w:ind w:firstLine="397"/>
        <w:jc w:val="both"/>
      </w:pPr>
      <w:r>
        <w:rPr>
          <w:rFonts w:ascii="Arial" w:cs="Arial" w:eastAsia="Arial" w:hAnsi="Arial"/>
          <w:sz w:val="24"/>
          <w:szCs w:val="24"/>
        </w:rPr>
        <w:t xml:space="preserve">12.5. В пределах пригородных зон городов и землях лесного фонда следует предусматривать формирование зеленых зон общественного назначения.</w:t>
      </w:r>
    </w:p>
    <w:p>
      <w:pPr>
        <w:spacing w:after="120"/>
        <w:ind w:firstLine="397"/>
        <w:jc w:val="both"/>
      </w:pPr>
      <w:r>
        <w:rPr>
          <w:rFonts w:ascii="Arial" w:cs="Arial" w:eastAsia="Arial" w:hAnsi="Arial"/>
          <w:sz w:val="24"/>
          <w:szCs w:val="24"/>
        </w:rPr>
        <w:t xml:space="preserve">Территориальная организация зеленых зон городов должна предусматривать разделение на лесопарковую и лесохозяйственную части, выделение мест отдыха населения и охраняемых территорий, обеспечивающее выполнение оздоровительных и природоохранных функций леса. В зеленых зонах запрещается хозяйственная деятельность, отрицательно влияющая на выполнение ими экологических, санитарно-гигиенических и рекреационных функций.</w:t>
      </w:r>
    </w:p>
    <w:p>
      <w:pPr>
        <w:spacing w:after="120"/>
        <w:ind w:firstLine="397"/>
        <w:jc w:val="both"/>
      </w:pPr>
      <w:r>
        <w:rPr>
          <w:rFonts w:ascii="Arial" w:cs="Arial" w:eastAsia="Arial" w:hAnsi="Arial"/>
          <w:sz w:val="24"/>
          <w:szCs w:val="24"/>
        </w:rPr>
        <w:t xml:space="preserve">12.6. Вокруг городов и населенных пунктов, расположенных в безлесных и малолесных районах, следует предусматривать создание ветрозащитных и берегоукрепительных лесных полос, озеленение склонов холмов, оврагов и балок.</w:t>
      </w:r>
    </w:p>
    <w:p>
      <w:pPr>
        <w:spacing w:after="120"/>
        <w:ind w:firstLine="397"/>
        <w:jc w:val="both"/>
      </w:pPr>
      <w:r>
        <w:rPr>
          <w:rFonts w:ascii="Arial" w:cs="Arial" w:eastAsia="Arial" w:hAnsi="Arial"/>
          <w:sz w:val="24"/>
          <w:szCs w:val="24"/>
        </w:rPr>
        <w:t xml:space="preserve">Ширину защитных лесных полос следует принимать, м, не менее: для крупнейших и крупных городов - 500 , больших и средних городов - 100, малых городов и сельских населенных пунктов - 50.</w:t>
      </w:r>
    </w:p>
    <w:p>
      <w:pPr>
        <w:spacing w:after="120"/>
        <w:ind w:firstLine="397"/>
        <w:jc w:val="both"/>
      </w:pPr>
      <w:r>
        <w:rPr>
          <w:rFonts w:ascii="Arial" w:cs="Arial" w:eastAsia="Arial" w:hAnsi="Arial"/>
          <w:sz w:val="24"/>
          <w:szCs w:val="24"/>
        </w:rPr>
        <w:t xml:space="preserve">12.7. В проектах планировки и застройки городов и их пригородных зон следует предусматривать рациональное использование ценных природных ландшафтов и их охрану выделение ландшафтно-рекреационных территорий, ограничение рекреационных нагрузок на ландшафт в соответствии с его устойчивостью, соблюдение режимных требований особо охраняемых территорий – государственных заповедников и заказников, природных национальных парков, ботанических садов и дендрологических парков, а также памятников природы – лесных, водных и геологических.</w:t>
      </w:r>
    </w:p>
    <w:p>
      <w:pPr>
        <w:spacing w:after="240" w:before="200"/>
        <w:jc w:val="center"/>
      </w:pPr>
      <w:r>
        <w:rPr>
          <w:rFonts w:ascii="Arial" w:cs="Arial" w:eastAsia="Arial" w:hAnsi="Arial"/>
          <w:b/>
          <w:bCs/>
          <w:sz w:val="32"/>
          <w:szCs w:val="32"/>
        </w:rPr>
        <w:t xml:space="preserve">Защита атмосферы, водных объектов и почв от загрязнения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12.8. Селитебные территории следует размещать с наветренной стороны (для ветров преобладающего направления) по отношению к производственным предприятиям, являющимися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pPr>
        <w:spacing w:after="120"/>
        <w:ind w:firstLine="397"/>
        <w:jc w:val="both"/>
      </w:pPr>
      <w:r>
        <w:rPr>
          <w:rFonts w:ascii="Arial" w:cs="Arial" w:eastAsia="Arial" w:hAnsi="Arial"/>
          <w:sz w:val="24"/>
          <w:szCs w:val="24"/>
        </w:rPr>
        <w:t xml:space="preserve">Животноводческие, птицеводческие и звероводческие предприятия, склады по хранению ядохимикатов, биопрепаратов, удобрений и другие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и другим предприятиям и объектам производственной зоны в соответствии с действующими нормативными документами.</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12.8.1. Предприятия с источниками загрязнения атмосферного воздуха вредными веществами, имеющие величину санитарного разрыва более 500 м, не следует размещать в районах с преобладающими ветрами скоростью до 1 м/с, с длительными или часто повторяющимися штилями, инверсиями, туманами (за год более 30-40%, в течении зимы 50-60% дней).</w:t>
      </w:r>
    </w:p>
    <w:p>
      <w:pPr>
        <w:spacing w:after="120"/>
        <w:ind w:firstLine="397"/>
        <w:jc w:val="both"/>
      </w:pPr>
      <w:r>
        <w:rPr>
          <w:rFonts w:ascii="Arial" w:cs="Arial" w:eastAsia="Arial" w:hAnsi="Arial"/>
          <w:sz w:val="24"/>
          <w:szCs w:val="24"/>
        </w:rPr>
        <w:t xml:space="preserve">12.8.2. Расчет загрязненности атмосферного воздуха следует проводить в соответствии с требованиями раздела 7 настоящего свода правил.</w:t>
      </w:r>
    </w:p>
    <w:p>
      <w:pPr>
        <w:spacing w:after="120"/>
        <w:ind w:firstLine="397"/>
        <w:jc w:val="both"/>
      </w:pPr>
      <w:r>
        <w:rPr>
          <w:rFonts w:ascii="Arial" w:cs="Arial" w:eastAsia="Arial" w:hAnsi="Arial"/>
          <w:sz w:val="24"/>
          <w:szCs w:val="24"/>
        </w:rPr>
        <w:t xml:space="preserve">12.8.3. Загрязнения атмосферного воздуха при размещении аэропортов учтены в Санитарно-эпидемиологических правилах и нормативах «Санитарно-защитные зоны и санитарная классификация предприятий, сооружений и иных объектов», утвержденные постановлением Правительства Кыргызской Республики от 11 апреля 2016 года № 201. </w:t>
      </w:r>
    </w:p>
    <w:p>
      <w:pPr>
        <w:spacing w:after="120"/>
        <w:ind w:firstLine="397"/>
        <w:jc w:val="both"/>
      </w:pPr>
      <w:r>
        <w:rPr>
          <w:rFonts w:ascii="Arial" w:cs="Arial" w:eastAsia="Arial" w:hAnsi="Arial"/>
          <w:sz w:val="24"/>
          <w:szCs w:val="24"/>
        </w:rPr>
        <w:t xml:space="preserve">12.9. Мероприятия по защите водоемов, водотоков и озерных акваторий необходимо предусматривать в соответствии с требованиями водного законодательства и санитарных норм, обеспечивая предупреждение загрязнения поверхностных и подземных вод с соблюдением норм предельно допустимых концентраций загрязняющих веществ в водных объектах, используемых для хозяйственно-питьевого водоснабжения, отдыха населения и в рыбохозяйственных целях.</w:t>
      </w:r>
    </w:p>
    <w:p>
      <w:pPr>
        <w:spacing w:after="120"/>
        <w:ind w:firstLine="397"/>
        <w:jc w:val="both"/>
      </w:pPr>
      <w:r>
        <w:rPr>
          <w:rFonts w:ascii="Arial" w:cs="Arial" w:eastAsia="Arial" w:hAnsi="Arial"/>
          <w:sz w:val="24"/>
          <w:szCs w:val="24"/>
        </w:rPr>
        <w:t xml:space="preserve">12.10. Селитебные территории городов и населенных пунктов, курортные зоны и места массового отдыха следует размещать выше по течению водотоков и водоемов относительно выпусков производственных и хозяйственно-бытовых сточных вод. </w:t>
      </w:r>
    </w:p>
    <w:p>
      <w:pPr>
        <w:spacing w:after="120"/>
        <w:ind w:firstLine="397"/>
        <w:jc w:val="both"/>
      </w:pPr>
      <w:r>
        <w:rPr>
          <w:rFonts w:ascii="Arial" w:cs="Arial" w:eastAsia="Arial" w:hAnsi="Arial"/>
          <w:sz w:val="24"/>
          <w:szCs w:val="24"/>
        </w:rPr>
        <w:t xml:space="preserve">12.11. Размещение промышленных предприятий в прибрежных полосах (зонах) водоемов допускается только при необходимости непосредственного примыкания площадки предприятия к водоемам по согласованию с органами по регулированию использования и охране вод в соответствии с водным законодательством Кыргызской Республики. Число и протяженность примыканий площадок предприятий к водоемам должны быть минимальными.</w:t>
      </w:r>
    </w:p>
    <w:p>
      <w:pPr>
        <w:spacing w:after="120"/>
        <w:ind w:firstLine="397"/>
        <w:jc w:val="both"/>
      </w:pPr>
      <w:r>
        <w:rPr>
          <w:rFonts w:ascii="Arial" w:cs="Arial" w:eastAsia="Arial" w:hAnsi="Arial"/>
          <w:sz w:val="24"/>
          <w:szCs w:val="24"/>
        </w:rPr>
        <w:t xml:space="preserve">При размещении складов минеральных удобрений и химических средств зашиты растений, животноводческих и птицеводческих предприятий должны необходимые меры, исключающие попадание указанных веществ, навозных стоков и помета в водоемы.</w:t>
      </w:r>
    </w:p>
    <w:p>
      <w:pPr>
        <w:spacing w:after="120"/>
        <w:ind w:firstLine="397"/>
        <w:jc w:val="both"/>
      </w:pPr>
      <w:r>
        <w:rPr>
          <w:rFonts w:ascii="Arial" w:cs="Arial" w:eastAsia="Arial" w:hAnsi="Arial"/>
          <w:sz w:val="24"/>
          <w:szCs w:val="24"/>
        </w:rPr>
        <w:t xml:space="preserve">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pPr>
        <w:spacing w:after="120"/>
        <w:ind w:firstLine="397"/>
        <w:jc w:val="both"/>
      </w:pPr>
      <w:r>
        <w:rPr>
          <w:rFonts w:ascii="Arial" w:cs="Arial" w:eastAsia="Arial" w:hAnsi="Arial"/>
          <w:sz w:val="24"/>
          <w:szCs w:val="24"/>
        </w:rPr>
        <w:t xml:space="preserve">12.12. Ширина прибрежной водоохраной полосы рек определяется с каждой стороны от среднемноголетнего уреза воды.</w:t>
      </w:r>
    </w:p>
    <w:p>
      <w:pPr>
        <w:spacing w:after="120"/>
        <w:ind w:firstLine="397"/>
        <w:jc w:val="both"/>
      </w:pPr>
      <w:r>
        <w:rPr>
          <w:rFonts w:ascii="Arial" w:cs="Arial" w:eastAsia="Arial" w:hAnsi="Arial"/>
          <w:sz w:val="24"/>
          <w:szCs w:val="24"/>
        </w:rPr>
        <w:t xml:space="preserve">Ширина водоохраной полосы магистральных и межхозяйственных каналов устанавливается по обе стороны от бровки при прохождении канала в выемке или от подошвы дамбы - при прохождении канала в насыпи. </w:t>
      </w:r>
    </w:p>
    <w:p>
      <w:pPr>
        <w:spacing w:after="120"/>
        <w:ind w:firstLine="397"/>
        <w:jc w:val="both"/>
      </w:pPr>
      <w:r>
        <w:rPr>
          <w:rFonts w:ascii="Arial" w:cs="Arial" w:eastAsia="Arial" w:hAnsi="Arial"/>
          <w:sz w:val="24"/>
          <w:szCs w:val="24"/>
        </w:rPr>
        <w:t xml:space="preserve">12.12.1. На реках наименьшая ширина водоохраной зоны устанавливается по обоим берегам от среднемноголетнего уреза воды для рек длиной: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5"/>
        <w:gridCol w:w="4773"/>
      </w:tblGrid>
      <w:tr>
        <w:tc>
          <w:tcPr>
            <w:tcW w:type="dxa" w:w="540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Длина рек</w:t>
            </w:r>
          </w:p>
        </w:tc>
        <w:tc>
          <w:tcPr>
            <w:tcW w:type="dxa" w:w="47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Ширина водоохраной зоны, м</w:t>
            </w:r>
          </w:p>
        </w:tc>
      </w:tr>
      <w:tr>
        <w:tc>
          <w:tcPr>
            <w:tcW w:type="dxa" w:w="54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 1 до 10 км</w:t>
            </w:r>
          </w:p>
          <w:p>
            <w:pPr>
              <w:jc w:val="both"/>
            </w:pPr>
            <w:r>
              <w:rPr>
                <w:rFonts w:ascii="Arial" w:cs="Arial" w:eastAsia="Arial" w:hAnsi="Arial"/>
                <w:sz w:val="22"/>
                <w:szCs w:val="22"/>
              </w:rPr>
              <w:t xml:space="preserve">от 10 до 50 км</w:t>
            </w:r>
          </w:p>
          <w:p>
            <w:pPr>
              <w:jc w:val="both"/>
            </w:pPr>
            <w:r>
              <w:rPr>
                <w:rFonts w:ascii="Arial" w:cs="Arial" w:eastAsia="Arial" w:hAnsi="Arial"/>
                <w:sz w:val="22"/>
                <w:szCs w:val="22"/>
              </w:rPr>
              <w:t xml:space="preserve">от 50 до 100 км</w:t>
            </w:r>
          </w:p>
          <w:p>
            <w:pPr>
              <w:jc w:val="both"/>
            </w:pPr>
            <w:r>
              <w:rPr>
                <w:rFonts w:ascii="Arial" w:cs="Arial" w:eastAsia="Arial" w:hAnsi="Arial"/>
                <w:sz w:val="22"/>
                <w:szCs w:val="22"/>
              </w:rPr>
              <w:t xml:space="preserve">более 100 км</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 50 </w:t>
            </w:r>
          </w:p>
          <w:p>
            <w:pPr>
              <w:jc w:val="both"/>
            </w:pPr>
            <w:r>
              <w:rPr>
                <w:rFonts w:ascii="Arial" w:cs="Arial" w:eastAsia="Arial" w:hAnsi="Arial"/>
                <w:sz w:val="22"/>
                <w:szCs w:val="22"/>
              </w:rPr>
              <w:t xml:space="preserve">до 75 </w:t>
            </w:r>
          </w:p>
          <w:p>
            <w:pPr>
              <w:jc w:val="both"/>
            </w:pPr>
            <w:r>
              <w:rPr>
                <w:rFonts w:ascii="Arial" w:cs="Arial" w:eastAsia="Arial" w:hAnsi="Arial"/>
                <w:sz w:val="22"/>
                <w:szCs w:val="22"/>
              </w:rPr>
              <w:t xml:space="preserve">до 100 </w:t>
            </w:r>
          </w:p>
          <w:p>
            <w:pPr>
              <w:jc w:val="both"/>
            </w:pPr>
            <w:r>
              <w:rPr>
                <w:rFonts w:ascii="Arial" w:cs="Arial" w:eastAsia="Arial" w:hAnsi="Arial"/>
                <w:sz w:val="22"/>
                <w:szCs w:val="22"/>
              </w:rPr>
              <w:t xml:space="preserve">до 150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12.12.2. Для магистральных и межхозяйственных каналов наименьшая ширина водоохранной зоны устанавливается: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36"/>
        <w:gridCol w:w="4542"/>
      </w:tblGrid>
      <w:tr>
        <w:tc>
          <w:tcPr>
            <w:tcW w:type="dxa" w:w="56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Для каналов пропускной способностью</w:t>
            </w:r>
          </w:p>
        </w:tc>
        <w:tc>
          <w:tcPr>
            <w:tcW w:type="dxa" w:w="45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Ширина водоохраной зоны, м</w:t>
            </w:r>
          </w:p>
        </w:tc>
      </w:tr>
      <w:tr>
        <w:tc>
          <w:tcPr>
            <w:tcW w:type="dxa" w:w="56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 5 до 10 м3/сек</w:t>
            </w:r>
          </w:p>
          <w:p>
            <w:pPr>
              <w:jc w:val="both"/>
            </w:pPr>
            <w:r>
              <w:rPr>
                <w:rFonts w:ascii="Arial" w:cs="Arial" w:eastAsia="Arial" w:hAnsi="Arial"/>
                <w:sz w:val="22"/>
                <w:szCs w:val="22"/>
              </w:rPr>
              <w:t xml:space="preserve">от 10 до 20 м3/сек</w:t>
            </w:r>
          </w:p>
          <w:p>
            <w:pPr>
              <w:jc w:val="both"/>
            </w:pPr>
            <w:r>
              <w:rPr>
                <w:rFonts w:ascii="Arial" w:cs="Arial" w:eastAsia="Arial" w:hAnsi="Arial"/>
                <w:sz w:val="22"/>
                <w:szCs w:val="22"/>
              </w:rPr>
              <w:t xml:space="preserve">более 20 м3/сек</w:t>
            </w:r>
          </w:p>
        </w:tc>
        <w:tc>
          <w:tcPr>
            <w:tcW w:type="dxa" w:w="4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 </w:t>
            </w:r>
          </w:p>
          <w:p>
            <w:pPr>
              <w:jc w:val="both"/>
            </w:pPr>
            <w:r>
              <w:rPr>
                <w:rFonts w:ascii="Arial" w:cs="Arial" w:eastAsia="Arial" w:hAnsi="Arial"/>
                <w:sz w:val="22"/>
                <w:szCs w:val="22"/>
              </w:rPr>
              <w:t xml:space="preserve">75 </w:t>
            </w:r>
          </w:p>
          <w:p>
            <w:pPr>
              <w:jc w:val="both"/>
            </w:pPr>
            <w:r>
              <w:rPr>
                <w:rFonts w:ascii="Arial" w:cs="Arial" w:eastAsia="Arial" w:hAnsi="Arial"/>
                <w:sz w:val="22"/>
                <w:szCs w:val="22"/>
              </w:rPr>
              <w:t xml:space="preserve">100 </w:t>
            </w:r>
          </w:p>
        </w:tc>
      </w:tr>
    </w:tbl>
    <w:p>
      <w:pPr>
        <w:spacing w:after="120"/>
        <w:ind w:firstLine="397"/>
        <w:jc w:val="both"/>
      </w:pPr>
      <w:r>
        <w:rPr>
          <w:rFonts w:ascii="Arial" w:cs="Arial" w:eastAsia="Arial" w:hAnsi="Arial"/>
          <w:sz w:val="24"/>
          <w:szCs w:val="24"/>
        </w:rPr>
        <w:t xml:space="preserve">для озер – от среднемноголетнего уреза воды в летний период и для водохранилищ от уреза воды при нормальном подпорном уровне при площади акватории до 2 км –300 м, более 2 км – 500 м.</w:t>
      </w:r>
    </w:p>
    <w:p>
      <w:pPr>
        <w:spacing w:after="120"/>
        <w:ind w:firstLine="397"/>
        <w:jc w:val="both"/>
      </w:pPr>
      <w:r>
        <w:rPr>
          <w:rFonts w:ascii="Arial" w:cs="Arial" w:eastAsia="Arial" w:hAnsi="Arial"/>
          <w:sz w:val="24"/>
          <w:szCs w:val="24"/>
        </w:rPr>
        <w:t xml:space="preserve">В пределах водоохранных зон по берегам рек, озер и водохранилищ выделяются прибрежные полосы, представляющие собой территорию строгого ограничения хозяйственной деятельности.</w:t>
      </w:r>
    </w:p>
    <w:p>
      <w:pPr>
        <w:spacing w:after="120"/>
        <w:ind w:firstLine="397"/>
        <w:jc w:val="both"/>
      </w:pPr>
      <w:r>
        <w:rPr>
          <w:rFonts w:ascii="Arial" w:cs="Arial" w:eastAsia="Arial" w:hAnsi="Arial"/>
          <w:sz w:val="24"/>
          <w:szCs w:val="24"/>
        </w:rPr>
        <w:t xml:space="preserve">12.12.3. На территории городов и сельских населенных пунктов, примыкающих к водному объекту, устанавливаются только прибрежные водоохранные полосы, размеры которых уточняются на основании конкретных условий планировки и застройки по генеральному плану населенного пункта.</w:t>
      </w:r>
    </w:p>
    <w:p>
      <w:pPr>
        <w:spacing w:after="120"/>
        <w:ind w:firstLine="397"/>
        <w:jc w:val="both"/>
      </w:pPr>
      <w:r>
        <w:rPr>
          <w:rFonts w:ascii="Arial" w:cs="Arial" w:eastAsia="Arial" w:hAnsi="Arial"/>
          <w:sz w:val="24"/>
          <w:szCs w:val="24"/>
        </w:rPr>
        <w:t xml:space="preserve">При проектировании населенных пунктов, минимальные размеры прибрежных водоохранных полос для рек и каналов устанавливаются в зависимости от характеристики прилегающих к водоисточнику угодий (пашни, сенокосы, кустарники и т.д.) и крутизны склонов согласно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0"/>
        <w:gridCol w:w="2406"/>
        <w:gridCol w:w="2406"/>
        <w:gridCol w:w="2406"/>
      </w:tblGrid>
      <w:tr>
        <w:tc>
          <w:tcPr>
            <w:tcW w:type="dxa" w:w="296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Вид угодий, прилегающих к водоисточнику</w:t>
            </w:r>
          </w:p>
        </w:tc>
        <w:tc>
          <w:tcPr>
            <w:tcW w:type="dxa" w:w="7218"/>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Ширина водоохраной полосы (м) при крутизне прилегающих склонов</w:t>
            </w:r>
          </w:p>
        </w:tc>
      </w:tr>
      <w:tr>
        <w:tc>
          <w:tcPr>
            <w:vMerge w:val="continue"/>
            <w:tcBorders>
              <w:top w:val="single" w:color="CBBF9E" w:sz="4"/>
              <w:left w:val="single" w:color="CBBF9E" w:sz="4"/>
              <w:bottom w:val="single" w:color="CBBF9E" w:sz="4"/>
              <w:right w:val="single" w:color="CBBF9E" w:sz="4"/>
            </w:tcBorders>
          </w:tcP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обратный и нулевой уклон</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 3 градусов</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более 3 градусов</w:t>
            </w:r>
          </w:p>
        </w:tc>
      </w:tr>
      <w:tr>
        <w:tc>
          <w:tcPr>
            <w:tcW w:type="dxa" w:w="29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Пашня</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10-12</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w:t>
            </w:r>
          </w:p>
        </w:tc>
      </w:tr>
      <w:tr>
        <w:tc>
          <w:tcPr>
            <w:tcW w:type="dxa" w:w="29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Пастбища и сенокосы</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10-15</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15-25</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25-30</w:t>
            </w:r>
          </w:p>
        </w:tc>
      </w:tr>
      <w:tr>
        <w:tc>
          <w:tcPr>
            <w:tcW w:type="dxa" w:w="29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Лес, кустарник, сад</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Максимальные размеры относятся к наиболее эродируемым почвогрунтам.</w:t>
      </w:r>
    </w:p>
    <w:p>
      <w:pPr>
        <w:spacing w:after="120"/>
        <w:ind w:firstLine="397"/>
        <w:jc w:val="both"/>
      </w:pPr>
      <w:r>
        <w:rPr>
          <w:rFonts w:ascii="Arial" w:cs="Arial" w:eastAsia="Arial" w:hAnsi="Arial"/>
          <w:sz w:val="24"/>
          <w:szCs w:val="24"/>
        </w:rPr>
        <w:t xml:space="preserve">12.12.4. В водоохранных зонах рек, озер и водохранилищ запрещается: </w:t>
      </w:r>
    </w:p>
    <w:p>
      <w:pPr>
        <w:spacing w:after="120"/>
        <w:ind w:firstLine="397"/>
        <w:jc w:val="both"/>
      </w:pPr>
      <w:r>
        <w:rPr>
          <w:rFonts w:ascii="Arial" w:cs="Arial" w:eastAsia="Arial" w:hAnsi="Arial"/>
          <w:sz w:val="24"/>
          <w:szCs w:val="24"/>
        </w:rPr>
        <w:t xml:space="preserve">размещение полигонов для твердых бытовых отходов и неутилизированных промышленных отходов,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и ферм, мест захоронения;</w:t>
      </w:r>
    </w:p>
    <w:p>
      <w:pPr>
        <w:spacing w:after="120"/>
        <w:ind w:firstLine="397"/>
        <w:jc w:val="both"/>
      </w:pPr>
      <w:r>
        <w:rPr>
          <w:rFonts w:ascii="Arial" w:cs="Arial" w:eastAsia="Arial" w:hAnsi="Arial"/>
          <w:sz w:val="24"/>
          <w:szCs w:val="24"/>
        </w:rPr>
        <w:t xml:space="preserve">строительство новых и расширение действующих объектов производственной и социальной сферы без согласования с органами по охране природы и государственного санитарно-эпидемиологического надзора.</w:t>
      </w:r>
    </w:p>
    <w:p>
      <w:pPr>
        <w:spacing w:after="120"/>
        <w:ind w:firstLine="397"/>
        <w:jc w:val="both"/>
      </w:pPr>
      <w:r>
        <w:rPr>
          <w:rFonts w:ascii="Arial" w:cs="Arial" w:eastAsia="Arial" w:hAnsi="Arial"/>
          <w:sz w:val="24"/>
          <w:szCs w:val="24"/>
        </w:rPr>
        <w:t xml:space="preserve">12.12.5. В пределах прибрежных полос дополнительно к ограничениям, указанным выше, запрещается установка палаточных городков, организация летних лагерей скота.</w:t>
      </w:r>
    </w:p>
    <w:p>
      <w:pPr>
        <w:spacing w:after="120"/>
        <w:ind w:firstLine="397"/>
        <w:jc w:val="both"/>
      </w:pPr>
      <w:r>
        <w:rPr>
          <w:rFonts w:ascii="Arial" w:cs="Arial" w:eastAsia="Arial" w:hAnsi="Arial"/>
          <w:sz w:val="24"/>
          <w:szCs w:val="24"/>
        </w:rPr>
        <w:t xml:space="preserve">12.12.6. 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эксплуатация водохранилищ.</w:t>
      </w:r>
    </w:p>
    <w:p>
      <w:pPr>
        <w:spacing w:after="120"/>
        <w:ind w:firstLine="397"/>
        <w:jc w:val="both"/>
      </w:pPr>
      <w:r>
        <w:rPr>
          <w:rFonts w:ascii="Arial" w:cs="Arial" w:eastAsia="Arial" w:hAnsi="Arial"/>
          <w:sz w:val="24"/>
          <w:szCs w:val="24"/>
        </w:rPr>
        <w:t xml:space="preserve">12.12.7. В сложившихся и проектируемых зонах отдыха, расположенных на берегах водоемов и водотоков, водоохранные мероприятия должны отвечать требованиям действующих в строительстве нормативно-технических документов.</w:t>
      </w:r>
    </w:p>
    <w:p>
      <w:pPr>
        <w:spacing w:after="120"/>
        <w:ind w:firstLine="397"/>
        <w:jc w:val="both"/>
      </w:pPr>
      <w:r>
        <w:rPr>
          <w:rFonts w:ascii="Arial" w:cs="Arial" w:eastAsia="Arial" w:hAnsi="Arial"/>
          <w:sz w:val="24"/>
          <w:szCs w:val="24"/>
        </w:rPr>
        <w:t xml:space="preserve">12.13. Поверхностные воды (атмосферные осадки) перед сбросом в открытые водоемы подлежат очистке с учетом требований «Правил охраны поверхностных вод».</w:t>
      </w:r>
    </w:p>
    <w:p>
      <w:pPr>
        <w:spacing w:after="120"/>
        <w:ind w:firstLine="397"/>
        <w:jc w:val="both"/>
      </w:pPr>
      <w:r>
        <w:rPr>
          <w:rFonts w:ascii="Arial" w:cs="Arial" w:eastAsia="Arial" w:hAnsi="Arial"/>
          <w:sz w:val="24"/>
          <w:szCs w:val="24"/>
        </w:rPr>
        <w:t xml:space="preserve">Отведение поверхностного стока с территории промышленных предприятий в водные объекты допускается в тех случаях, когда его использование в промводоснабжении оказывается технически невозможным или экономически нецелесообразным.</w:t>
      </w:r>
    </w:p>
    <w:p>
      <w:pPr>
        <w:spacing w:after="120"/>
        <w:ind w:firstLine="397"/>
        <w:jc w:val="both"/>
      </w:pPr>
      <w:r>
        <w:rPr>
          <w:rFonts w:ascii="Arial" w:cs="Arial" w:eastAsia="Arial" w:hAnsi="Arial"/>
          <w:sz w:val="24"/>
          <w:szCs w:val="24"/>
        </w:rPr>
        <w:t xml:space="preserve">Сброс вод поверхностного стока не допускается в непроточные водоемы в местах, отведенных для пляжей, в замкнутые лощины, подверженные заболачиванию, размываемые овраги, если не предусмотрены мероприятия по укреплению их склонов, в рыбные пруды без соответствующего согласования.</w:t>
      </w:r>
    </w:p>
    <w:p>
      <w:pPr>
        <w:spacing w:after="120"/>
        <w:ind w:firstLine="397"/>
        <w:jc w:val="both"/>
      </w:pPr>
      <w:r>
        <w:rPr>
          <w:rFonts w:ascii="Arial" w:cs="Arial" w:eastAsia="Arial" w:hAnsi="Arial"/>
          <w:sz w:val="24"/>
          <w:szCs w:val="24"/>
        </w:rPr>
        <w:t xml:space="preserve">12.14. В декоративных водоемах и водоемах, используемых для купания, расположенных на территории населенных пунктах следует предусматривать периодический обмен воды за осенне-летний период в зависимости от площади их зеркала: в декоративных водоемах при площади зеркала до 3 га - 2 раза, при площади более 3 га – 1 раз;</w:t>
      </w:r>
    </w:p>
    <w:p>
      <w:pPr>
        <w:spacing w:after="120"/>
        <w:ind w:firstLine="397"/>
        <w:jc w:val="both"/>
      </w:pPr>
      <w:r>
        <w:rPr>
          <w:rFonts w:ascii="Arial" w:cs="Arial" w:eastAsia="Arial" w:hAnsi="Arial"/>
          <w:sz w:val="24"/>
          <w:szCs w:val="24"/>
        </w:rPr>
        <w:t xml:space="preserve">в водоемах для купания - соответственно четыре и три раза, а при площади более 6 га - 2 раза.</w:t>
      </w:r>
    </w:p>
    <w:p>
      <w:pPr>
        <w:spacing w:after="120"/>
        <w:ind w:firstLine="397"/>
        <w:jc w:val="both"/>
      </w:pPr>
      <w:r>
        <w:rPr>
          <w:rFonts w:ascii="Arial" w:cs="Arial" w:eastAsia="Arial" w:hAnsi="Arial"/>
          <w:sz w:val="24"/>
          <w:szCs w:val="24"/>
        </w:rPr>
        <w:t xml:space="preserve">Глубина воды в водоемах, расположенных в пределах селитебных территорий, в весенне-летний период должна быть не менее 1,5 м, а в прибрежной зоне при условии периодического удаления водной растительности – не менее 1м.</w:t>
      </w:r>
    </w:p>
    <w:p>
      <w:pPr>
        <w:spacing w:after="120"/>
        <w:ind w:firstLine="397"/>
        <w:jc w:val="both"/>
      </w:pPr>
      <w:r>
        <w:rPr>
          <w:rFonts w:ascii="Arial" w:cs="Arial" w:eastAsia="Arial" w:hAnsi="Arial"/>
          <w:sz w:val="24"/>
          <w:szCs w:val="24"/>
        </w:rPr>
        <w:t xml:space="preserve">Площадь водного зеркала и пляжей водоема следует принимать в соответствии с п. 8.21 настоящего свода правил. Прибрежные полосы прудов и других водоемов должны быть благоустроены. Следует предусматривать меры исключающие загрязнение водоемов поверхностными водами.</w:t>
      </w:r>
    </w:p>
    <w:p>
      <w:pPr>
        <w:spacing w:after="120"/>
        <w:ind w:firstLine="397"/>
        <w:jc w:val="both"/>
      </w:pPr>
      <w:r>
        <w:rPr>
          <w:rFonts w:ascii="Arial" w:cs="Arial" w:eastAsia="Arial" w:hAnsi="Arial"/>
          <w:sz w:val="24"/>
          <w:szCs w:val="24"/>
        </w:rPr>
        <w:t xml:space="preserve">12.15. Мероприятия по защите почв необходимо предусматривать в соответствии с требованиями законодательства по охране почв, санитарных норм и требованиями ведомств, обеспечивающими предупреждение загрязнения почв различного землепользования свыше утвержденных норм ПДК загрязняющих веществ в почве.</w:t>
      </w:r>
    </w:p>
    <w:p>
      <w:pPr>
        <w:spacing w:after="240" w:before="200"/>
        <w:jc w:val="center"/>
      </w:pPr>
      <w:r>
        <w:rPr>
          <w:rFonts w:ascii="Arial" w:cs="Arial" w:eastAsia="Arial" w:hAnsi="Arial"/>
          <w:b/>
          <w:bCs/>
          <w:sz w:val="32"/>
          <w:szCs w:val="32"/>
        </w:rPr>
        <w:t xml:space="preserve">Защита от шума, вибрации, электрических и магнитных полей, излучении и облучении</w:t>
      </w:r>
    </w:p>
    <w:p>
      <w:pPr>
        <w:spacing w:after="120"/>
        <w:ind w:firstLine="397"/>
        <w:jc w:val="both"/>
      </w:pPr>
      <w:r>
        <w:rPr>
          <w:rFonts w:ascii="Arial" w:cs="Arial" w:eastAsia="Arial" w:hAnsi="Arial"/>
          <w:sz w:val="24"/>
          <w:szCs w:val="24"/>
        </w:rPr>
        <w:t xml:space="preserve">12.16. Допустимые уровни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методики расчета акустической эффективности архитектурно-планировочных и строительно-акустических средств снижения шума и основные требования по их проектированию следует принимать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12.17. Допустимые уровни вибрации в жилых зданиях должны соответствовать санитарным нормам допустимых вибраций в жилых домах. Для выполнения этих требований следует предусматривать необходимые расстояния между жилыми зданиями и источниками вибрации, применение на этих источниках эффективных виброгасящих материалов и конструкций.</w:t>
      </w:r>
    </w:p>
    <w:p>
      <w:pPr>
        <w:spacing w:after="120"/>
        <w:ind w:firstLine="397"/>
        <w:jc w:val="both"/>
      </w:pPr>
      <w:r>
        <w:rPr>
          <w:rFonts w:ascii="Arial" w:cs="Arial" w:eastAsia="Arial" w:hAnsi="Arial"/>
          <w:sz w:val="24"/>
          <w:szCs w:val="24"/>
        </w:rPr>
        <w:t xml:space="preserve">12.18. При размещении радиотехнических объектов (радиостанций, радиотелевизионных передающих и радиолокационных станций), промышленных генераторов воздушных линий электропередач высокого напряжения и других объектов, излучающих электромагнитную энергию, следует руководствоваться Санитарными нормами и правилами защиты населения от воздействия электромагнитных полей, создаваемых радиотехническими объектами. Санитарными нормами и правилами защиты населения от воздействия электрического поля, создаваемого воздушными линиями электропередач переменного тока промышленной частоты и правилами устройства электроустановок.</w:t>
      </w:r>
    </w:p>
    <w:p>
      <w:pPr>
        <w:spacing w:after="120"/>
        <w:ind w:firstLine="397"/>
        <w:jc w:val="both"/>
      </w:pPr>
      <w:r>
        <w:rPr>
          <w:rFonts w:ascii="Arial" w:cs="Arial" w:eastAsia="Arial" w:hAnsi="Arial"/>
          <w:sz w:val="24"/>
          <w:szCs w:val="24"/>
        </w:rPr>
        <w:t xml:space="preserve">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 и основными санитарными правилами работы с радиоактивными веществами и другими источниками ионизирующих излучений.</w:t>
      </w:r>
    </w:p>
    <w:p>
      <w:pPr>
        <w:spacing w:after="120"/>
        <w:ind w:firstLine="397"/>
        <w:jc w:val="both"/>
      </w:pPr>
      <w:r>
        <w:rPr>
          <w:rFonts w:ascii="Arial" w:cs="Arial" w:eastAsia="Arial" w:hAnsi="Arial"/>
          <w:b/>
          <w:bCs/>
          <w:sz w:val="24"/>
          <w:szCs w:val="24"/>
        </w:rPr>
        <w:t xml:space="preserve">Регулирование микроклимата</w:t>
      </w:r>
    </w:p>
    <w:p>
      <w:pPr>
        <w:spacing w:after="120"/>
        <w:ind w:firstLine="397"/>
        <w:jc w:val="both"/>
      </w:pPr>
      <w:r>
        <w:rPr>
          <w:rFonts w:ascii="Arial" w:cs="Arial" w:eastAsia="Arial" w:hAnsi="Arial"/>
          <w:sz w:val="24"/>
          <w:szCs w:val="24"/>
        </w:rPr>
        <w:t xml:space="preserve">12.19. Размещение и ориентация жилых и общественных зданий (за исключением детских дошкольных учреждений, общеобразовательных школ, школ интернатов) должны обеспечивать непрерывную продолжительность инсоляции жилых помещений и территорий, южнее 58 с.ш. – не менее 2,5 ч в день на период с 22 марта по 22 сентября.</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12.19.1. Размещение и ориентация зданий детских дошкольных учреждений, общеобразовательных школ, школ-интернатов, учреждений здравоохранения и отдыха должны обеспечивать непрерывную трехчасовую продолжительность инсоляции в помещениях, предусмотренных Санитарными нормами и правилами обеспечения инсоляцией жилых и общественных зданий и территорий жилой застройки.</w:t>
      </w:r>
    </w:p>
    <w:p>
      <w:pPr>
        <w:spacing w:after="120"/>
        <w:ind w:firstLine="397"/>
        <w:jc w:val="both"/>
      </w:pPr>
      <w:r>
        <w:rPr>
          <w:rFonts w:ascii="Arial" w:cs="Arial" w:eastAsia="Arial" w:hAnsi="Arial"/>
          <w:sz w:val="24"/>
          <w:szCs w:val="24"/>
        </w:rPr>
        <w:t xml:space="preserve">12.19.2. В условиях застройки зданиями свыше 9 этажей допускается одноразовая прерывистость инсоляции жилых помещений при условии увеличения суммарной продолжительности инсоляции в течении дня на 0,5 ч соответственно для каждой зоны.</w:t>
      </w:r>
    </w:p>
    <w:p>
      <w:pPr>
        <w:spacing w:after="120"/>
        <w:ind w:firstLine="397"/>
        <w:jc w:val="both"/>
      </w:pPr>
      <w:r>
        <w:rPr>
          <w:rFonts w:ascii="Arial" w:cs="Arial" w:eastAsia="Arial" w:hAnsi="Arial"/>
          <w:sz w:val="24"/>
          <w:szCs w:val="24"/>
        </w:rPr>
        <w:t xml:space="preserve">12.19.3. В жилых домах меридионального типа, где инсолируются все комнаты квартиры, а также при реконструкции жилой застройки или при размещении нового строительства в особо сложных градостроительных условиях (исторически ценная городская среда, дорогостоящая подготовка территории, зона общегородского и районного центра) допускается сокращение продолжительности инсоляции помещений на 0,5 ч соответственно для каждой зоны.</w:t>
      </w:r>
    </w:p>
    <w:p>
      <w:pPr>
        <w:spacing w:after="120"/>
        <w:ind w:firstLine="397"/>
        <w:jc w:val="both"/>
      </w:pPr>
      <w:r>
        <w:rPr>
          <w:rFonts w:ascii="Arial" w:cs="Arial" w:eastAsia="Arial" w:hAnsi="Arial"/>
          <w:b/>
          <w:bCs/>
          <w:sz w:val="24"/>
          <w:szCs w:val="24"/>
        </w:rPr>
        <w:t xml:space="preserve">Охрана памятников истории и культуры</w:t>
      </w:r>
    </w:p>
    <w:p>
      <w:pPr>
        <w:spacing w:after="120"/>
        <w:ind w:firstLine="397"/>
        <w:jc w:val="both"/>
      </w:pPr>
      <w:r>
        <w:rPr>
          <w:rFonts w:ascii="Arial" w:cs="Arial" w:eastAsia="Arial" w:hAnsi="Arial"/>
          <w:sz w:val="24"/>
          <w:szCs w:val="24"/>
        </w:rPr>
        <w:t xml:space="preserve">12.20. В проектах планировки и застройки городов и населенных пунктов следует соблюдать требования законодательства об охране и использовании памятников истории и культуры Кыргызской Республики.</w:t>
      </w:r>
    </w:p>
    <w:p>
      <w:pPr>
        <w:spacing w:after="120"/>
        <w:ind w:firstLine="397"/>
        <w:jc w:val="both"/>
      </w:pPr>
      <w:r>
        <w:rPr>
          <w:rFonts w:ascii="Arial" w:cs="Arial" w:eastAsia="Arial" w:hAnsi="Arial"/>
          <w:sz w:val="24"/>
          <w:szCs w:val="24"/>
        </w:rPr>
        <w:t xml:space="preserve">12.20.1. При этом следует: разработать проект зоны охраны памятников истории и культуры, зоны регулирования застройки и зоны охраняемого природного ландшафта и по ним следует устанавливать границы. Зоны охраны памятников истории и культуры предусматриваются для отдельных зданий и сооружений, их ансамблей и комплексов, а также других ценных историко-культурных градостроительных элементов, отдельно согласно специальному проекту зоны охраны памятников.</w:t>
      </w:r>
    </w:p>
    <w:p>
      <w:pPr>
        <w:spacing w:after="120"/>
        <w:ind w:firstLine="397"/>
        <w:jc w:val="both"/>
      </w:pPr>
      <w:r>
        <w:rPr>
          <w:rFonts w:ascii="Arial" w:cs="Arial" w:eastAsia="Arial" w:hAnsi="Arial"/>
          <w:sz w:val="24"/>
          <w:szCs w:val="24"/>
        </w:rPr>
        <w:t xml:space="preserve">12.20.2. Требования специальных режимов охраны и использования, установленных проектами и положениями о каждом конкретном заповеднике (заповедной территории), должны распространяться на ансамбли и комплексы памятников истории и культуры, исторические центры, кварталы, площади, улицы, памятные места, культурные слои древних городов, памятники садово-паркового искусства, природные и искусственные ландшафты, представляющие особую историческую археологическую и архитектурную ценность и объявленные в установленном порядке государственными историко-архитектурными заповедниками или историко-культурными заповедными территориями (местами).</w:t>
      </w:r>
    </w:p>
    <w:p>
      <w:pPr>
        <w:spacing w:after="120"/>
        <w:ind w:firstLine="397"/>
        <w:jc w:val="both"/>
      </w:pPr>
      <w:r>
        <w:rPr>
          <w:rFonts w:ascii="Arial" w:cs="Arial" w:eastAsia="Arial" w:hAnsi="Arial"/>
          <w:sz w:val="24"/>
          <w:szCs w:val="24"/>
        </w:rPr>
        <w:t xml:space="preserve">12.21. Проекты планировки и застройки городов и населенных пунктов не должны предусматривать снос, перемещение или другие изменения состояния памятников истории и культуры. В исключительных случаях предложения по изменению состояния памятников следует представлять в соответствии с действующими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12.22. Охрану ценной исторической среды районов сложившейся застройки следует обеспечивать методами комплексной реконструкции, регенерации, предусматривая и проводя одновременно работы по реставрации зданий, имеющих архитектурную и культурную ценность, по реконструкции, модернизации и капитальному строительству существующих зданий, выборочному новому строительству, не нарушающему характер среды, развитию систем инженерного оборудования и благоустройству территории.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200"/>
        <w:ind w:firstLine="397"/>
        <w:jc w:val="center"/>
      </w:pPr>
      <w:r>
        <w:rPr>
          <w:rFonts w:ascii="Arial" w:cs="Arial" w:eastAsia="Arial" w:hAnsi="Arial"/>
          <w:b/>
          <w:bCs/>
          <w:sz w:val="32"/>
          <w:szCs w:val="32"/>
        </w:rPr>
        <w:t xml:space="preserve">Противопожарные требования</w:t>
      </w:r>
    </w:p>
    <w:p>
      <w:pPr>
        <w:spacing w:after="120"/>
        <w:ind w:firstLine="397"/>
        <w:jc w:val="both"/>
      </w:pPr>
      <w:r>
        <w:rPr>
          <w:rFonts w:ascii="Arial" w:cs="Arial" w:eastAsia="Arial" w:hAnsi="Arial"/>
          <w:sz w:val="24"/>
          <w:szCs w:val="24"/>
        </w:rPr>
        <w:t xml:space="preserve">1. Противопожарные расстояния между жилыми, общественными и вспомогательными зданиями, промышленных предприятий следует принимать согласно п.2 ст.13 </w:t>
      </w:r>
      <w:hyperlink w:history="1" r:id="rId8lm8z5jj8szettdmpbl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от 11 января 1994 года № 1372-XII. </w:t>
      </w:r>
    </w:p>
    <w:p>
      <w:pPr>
        <w:spacing w:after="120"/>
        <w:ind w:firstLine="397"/>
        <w:jc w:val="both"/>
      </w:pPr>
      <w:r>
        <w:rPr>
          <w:rFonts w:ascii="Arial" w:cs="Arial" w:eastAsia="Arial" w:hAnsi="Arial"/>
          <w:sz w:val="24"/>
          <w:szCs w:val="24"/>
        </w:rPr>
        <w:t xml:space="preserve">Минимальные расстояния от жилых, общественных и вспомогательных зданий I и II степеней огнестойкости принимается по таблице А1.</w:t>
      </w:r>
    </w:p>
    <w:p>
      <w:pPr>
        <w:spacing w:after="120"/>
        <w:ind w:firstLine="397"/>
        <w:jc w:val="both"/>
      </w:pPr>
      <w:r>
        <w:rPr>
          <w:rFonts w:ascii="Arial" w:cs="Arial" w:eastAsia="Arial" w:hAnsi="Arial"/>
          <w:sz w:val="24"/>
          <w:szCs w:val="24"/>
        </w:rPr>
        <w:t xml:space="preserve">Таблица 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7"/>
        <w:gridCol w:w="2360"/>
        <w:gridCol w:w="2360"/>
        <w:gridCol w:w="2360"/>
      </w:tblGrid>
      <w:tr>
        <w:tc>
          <w:tcPr>
            <w:tcW w:type="dxa" w:w="309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Степень огнестойкости здания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08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Расстояния, м, при степени огнестойкости здания</w:t>
            </w:r>
          </w:p>
        </w:tc>
      </w:tr>
      <w:tr>
        <w:tc>
          <w:tcPr>
            <w:vMerge w:val="continue"/>
            <w:tcBorders>
              <w:top w:val="single" w:color="CBBF9E" w:sz="4"/>
              <w:left w:val="single" w:color="CBBF9E" w:sz="4"/>
              <w:bottom w:val="single" w:color="CBBF9E" w:sz="4"/>
              <w:right w:val="single" w:color="CBBF9E" w:sz="4"/>
            </w:tcBorders>
          </w:tcP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II</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IIIа, IIIб, IV, IVa, V</w:t>
            </w:r>
          </w:p>
        </w:tc>
      </w:tr>
      <w:tr>
        <w:tc>
          <w:tcPr>
            <w:tcW w:type="dxa" w:w="3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 II</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IIIа, IIIб, IV,IVa, V</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bl>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1.1. Классификацию по степени огнестойкости следует принимать в соответствии с требованиями действующих в строительстве нормативно-технических документов.</w:t>
      </w:r>
    </w:p>
    <w:p>
      <w:pPr>
        <w:spacing w:after="120"/>
        <w:ind w:firstLine="397"/>
        <w:jc w:val="both"/>
      </w:pPr>
      <w:r>
        <w:rPr>
          <w:rFonts w:ascii="Arial" w:cs="Arial" w:eastAsia="Arial" w:hAnsi="Arial"/>
          <w:sz w:val="24"/>
          <w:szCs w:val="24"/>
        </w:rPr>
        <w:t xml:space="preserve">1.2. 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горючих материалов, принимается расстояние между этими конструкциями.</w:t>
      </w:r>
    </w:p>
    <w:p>
      <w:pPr>
        <w:spacing w:after="120"/>
        <w:ind w:firstLine="397"/>
        <w:jc w:val="both"/>
      </w:pPr>
      <w:r>
        <w:rPr>
          <w:rFonts w:ascii="Arial" w:cs="Arial" w:eastAsia="Arial" w:hAnsi="Arial"/>
          <w:sz w:val="24"/>
          <w:szCs w:val="24"/>
        </w:rPr>
        <w:t xml:space="preserve">1.3. Расстояние между стенами зданий без оконных проемов допускается уменьшать на 20 % , за исключением зданий IIIа, IIIб, IV, IVa, и V степеней огнестойкости.</w:t>
      </w:r>
    </w:p>
    <w:p>
      <w:pPr>
        <w:spacing w:after="120"/>
        <w:ind w:firstLine="397"/>
        <w:jc w:val="both"/>
      </w:pPr>
      <w:r>
        <w:rPr>
          <w:rFonts w:ascii="Arial" w:cs="Arial" w:eastAsia="Arial" w:hAnsi="Arial"/>
          <w:sz w:val="24"/>
          <w:szCs w:val="24"/>
        </w:rPr>
        <w:t xml:space="preserve">1.4. В районах сейсмичностью 9 баллов расстояние между жилыми зданиями, а также между жилыми и общественными зданиями IV а, V степеней огнестойкости следует увеличивать на 20%.</w:t>
      </w:r>
    </w:p>
    <w:p>
      <w:pPr>
        <w:spacing w:after="120"/>
        <w:ind w:firstLine="397"/>
        <w:jc w:val="both"/>
      </w:pPr>
      <w:r>
        <w:rPr>
          <w:rFonts w:ascii="Arial" w:cs="Arial" w:eastAsia="Arial" w:hAnsi="Arial"/>
          <w:sz w:val="24"/>
          <w:szCs w:val="24"/>
        </w:rPr>
        <w:t xml:space="preserve">1.5. Расстояние между жилыми зданиями IV, V степеней огнестойкости в климатических подрайонах IА, IВ, IГ следует увеличивать на 50%.</w:t>
      </w:r>
    </w:p>
    <w:p>
      <w:pPr>
        <w:spacing w:after="120"/>
        <w:ind w:firstLine="397"/>
        <w:jc w:val="both"/>
      </w:pPr>
      <w:r>
        <w:rPr>
          <w:rFonts w:ascii="Arial" w:cs="Arial" w:eastAsia="Arial" w:hAnsi="Arial"/>
          <w:sz w:val="24"/>
          <w:szCs w:val="24"/>
        </w:rPr>
        <w:t xml:space="preserve">1.6. Для двухэтажных зданий каркасной и щитовой конструкции V степени огнестойкости, а также зданий, крытых горючими материалами, противопожарные расстояния необходимо увеличивать на 20%.</w:t>
      </w:r>
    </w:p>
    <w:p>
      <w:pPr>
        <w:spacing w:after="120"/>
        <w:ind w:firstLine="397"/>
        <w:jc w:val="both"/>
      </w:pPr>
      <w:r>
        <w:rPr>
          <w:rFonts w:ascii="Arial" w:cs="Arial" w:eastAsia="Arial" w:hAnsi="Arial"/>
          <w:sz w:val="24"/>
          <w:szCs w:val="24"/>
        </w:rPr>
        <w:t xml:space="preserve">1.7. Расстояние между зданиями I, II степеней огнестойкости допускается предусматривать менее 6 м при условии, если стена более высокого здания, расположенная напротив другого здания, является противопожарной.</w:t>
      </w:r>
    </w:p>
    <w:p>
      <w:pPr>
        <w:spacing w:after="120"/>
        <w:ind w:firstLine="397"/>
        <w:jc w:val="both"/>
      </w:pPr>
      <w:r>
        <w:rPr>
          <w:rFonts w:ascii="Arial" w:cs="Arial" w:eastAsia="Arial" w:hAnsi="Arial"/>
          <w:sz w:val="24"/>
          <w:szCs w:val="24"/>
        </w:rPr>
        <w:t xml:space="preserve">1.8.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принимаются по расчету с учетом приложения 8.</w:t>
      </w:r>
    </w:p>
    <w:p>
      <w:pPr>
        <w:spacing w:after="120"/>
        <w:ind w:firstLine="397"/>
        <w:jc w:val="both"/>
      </w:pPr>
      <w:r>
        <w:rPr>
          <w:rFonts w:ascii="Arial" w:cs="Arial" w:eastAsia="Arial" w:hAnsi="Arial"/>
          <w:sz w:val="24"/>
          <w:szCs w:val="24"/>
        </w:rPr>
        <w:t xml:space="preserve">Расстояния между жилым домом и хозяйственными постройками в пределах одного земельного участка (независимо от суммарной площади застройки) не нормируются.</w:t>
      </w:r>
    </w:p>
    <w:p>
      <w:pPr>
        <w:spacing w:after="120"/>
        <w:ind w:firstLine="397"/>
        <w:jc w:val="both"/>
      </w:pPr>
      <w:r>
        <w:rPr>
          <w:rFonts w:ascii="Arial" w:cs="Arial" w:eastAsia="Arial" w:hAnsi="Arial"/>
          <w:sz w:val="24"/>
          <w:szCs w:val="24"/>
        </w:rPr>
        <w:t xml:space="preserve">1.9. Расстояния между жилыми зданиями, а также жилыми зданиями и хозяйственными постройками, (сараями, гаражами, банями) не нормируются при суммарной площади застройки, включая незастроенную площадь между ними, равной наибольшей доступной площади застройки (этажа) одной и той же степени огнестойкости без противопожарных стен согласно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1.10. Расстояние между хозяйственными постройками (сараями, гаражами, банями), расположенными вне территории усадебных участков, не нормируются. </w:t>
      </w:r>
    </w:p>
    <w:p>
      <w:pPr>
        <w:spacing w:after="120"/>
        <w:ind w:firstLine="397"/>
        <w:jc w:val="both"/>
      </w:pPr>
      <w:r>
        <w:rPr>
          <w:rFonts w:ascii="Arial" w:cs="Arial" w:eastAsia="Arial" w:hAnsi="Arial"/>
          <w:sz w:val="24"/>
          <w:szCs w:val="24"/>
        </w:rPr>
        <w:t xml:space="preserve">1.11.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пожарных с автолестниц или автоподъемников в любую квартиру или помещение, при этом нормированные расстояния и ширина определяется специальными противопожарными требованиями.</w:t>
      </w:r>
    </w:p>
    <w:p>
      <w:pPr>
        <w:spacing w:after="120"/>
        <w:ind w:firstLine="397"/>
        <w:jc w:val="both"/>
      </w:pPr>
      <w:r>
        <w:rPr>
          <w:rFonts w:ascii="Arial" w:cs="Arial" w:eastAsia="Arial" w:hAnsi="Arial"/>
          <w:sz w:val="24"/>
          <w:szCs w:val="24"/>
        </w:rPr>
        <w:t xml:space="preserve">1.12. Расстояния от жилых и общественных зданий до складов I группы для хранения нефти и нефтепродуктов следует принимать в соответствии с требованиями действующих нормативных документов, а до складов горючей жидкости II группы, предусматриваемых в составе котельных, дизельных электростанций и других энергообъектов, обслуживающих жилые и общественные здания принимаются по таблице А2.</w:t>
      </w:r>
    </w:p>
    <w:p>
      <w:pPr>
        <w:spacing w:after="120"/>
        <w:ind w:firstLine="397"/>
        <w:jc w:val="both"/>
      </w:pPr>
      <w:r>
        <w:rPr>
          <w:rFonts w:ascii="Arial" w:cs="Arial" w:eastAsia="Arial" w:hAnsi="Arial"/>
          <w:sz w:val="24"/>
          <w:szCs w:val="24"/>
        </w:rPr>
        <w:t xml:space="preserve">1.13. К рекам и водоемам следует предусматривать подъезды для забора воды пожарными машинами.</w:t>
      </w:r>
    </w:p>
    <w:p>
      <w:pPr>
        <w:spacing w:after="120"/>
        <w:ind w:firstLine="397"/>
        <w:jc w:val="both"/>
      </w:pPr>
      <w:r>
        <w:rPr>
          <w:rFonts w:ascii="Arial" w:cs="Arial" w:eastAsia="Arial" w:hAnsi="Arial"/>
          <w:sz w:val="24"/>
          <w:szCs w:val="24"/>
        </w:rPr>
        <w:t xml:space="preserve">1.14. Расстояние от границ застройки городских населенных пунктов до лесных массивов должны быть не менее 50 м. В городских населенных пунктах для районов одно-двух этажной индивидуальной застройки с приусадебными участками расстояние от границ приусадебных участков до лесных массивов допускается уменьшать, но принимать не менее 15 м.</w:t>
      </w:r>
    </w:p>
    <w:p>
      <w:pPr>
        <w:spacing w:after="120"/>
        <w:ind w:firstLine="397"/>
        <w:jc w:val="both"/>
      </w:pPr>
      <w:r>
        <w:rPr>
          <w:rFonts w:ascii="Arial" w:cs="Arial" w:eastAsia="Arial" w:hAnsi="Arial"/>
          <w:sz w:val="24"/>
          <w:szCs w:val="24"/>
        </w:rPr>
        <w:t xml:space="preserve">1.15. Радиус обслуживания пожарного депо не должен превышать 3 км. Количество пожарных депо в населенных пунктах, площадь застройки, а также количество пожарных автомобилей принимаются по нормам проектирования объектов пожарной охраны.</w:t>
      </w:r>
    </w:p>
    <w:p>
      <w:pPr>
        <w:spacing w:after="120"/>
        <w:ind w:firstLine="397"/>
        <w:jc w:val="both"/>
      </w:pPr>
      <w:r>
        <w:rPr>
          <w:rFonts w:ascii="Arial" w:cs="Arial" w:eastAsia="Arial" w:hAnsi="Arial"/>
          <w:sz w:val="24"/>
          <w:szCs w:val="24"/>
        </w:rPr>
        <w:t xml:space="preserve">Таблица А.2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4"/>
        <w:gridCol w:w="2508"/>
        <w:gridCol w:w="2508"/>
        <w:gridCol w:w="2508"/>
      </w:tblGrid>
      <w:tr>
        <w:tc>
          <w:tcPr>
            <w:tcW w:type="dxa" w:w="265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Вместимость склада, м3</w:t>
            </w:r>
          </w:p>
        </w:tc>
        <w:tc>
          <w:tcPr>
            <w:tcW w:type="dxa" w:w="7524"/>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Степень огнестойкости жилых и общественных зданий</w:t>
            </w:r>
          </w:p>
        </w:tc>
      </w:tr>
      <w:tr>
        <w:tc>
          <w:tcPr>
            <w:vMerge w:val="continue"/>
            <w:tcBorders>
              <w:top w:val="single" w:color="CBBF9E" w:sz="4"/>
              <w:left w:val="single" w:color="CBBF9E" w:sz="4"/>
              <w:bottom w:val="single" w:color="CBBF9E" w:sz="4"/>
              <w:right w:val="single" w:color="CBBF9E" w:sz="4"/>
            </w:tcBorders>
          </w:tcP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II</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IIIa, III</w:t>
            </w:r>
            <w:r>
              <w:rPr>
                <w:rFonts w:ascii="Arial" w:cs="Arial" w:eastAsia="Arial" w:hAnsi="Arial"/>
                <w:sz w:val="24"/>
                <w:szCs w:val="24"/>
              </w:rPr>
              <w:t xml:space="preserve">б</w:t>
            </w:r>
            <w:r>
              <w:rPr>
                <w:rFonts w:ascii="Arial" w:cs="Arial" w:eastAsia="Arial" w:hAnsi="Arial"/>
                <w:sz w:val="24"/>
                <w:szCs w:val="24"/>
              </w:rPr>
              <w:t xml:space="preserve">, IV IVa, V</w:t>
            </w:r>
          </w:p>
        </w:tc>
      </w:tr>
      <w:tr>
        <w:tc>
          <w:tcPr>
            <w:tcW w:type="dxa" w:w="26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800 до 10000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26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100 до 800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26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Требования к согласованию размещения объектов в районах аэродромов и на других территориях с учетом обеспечения безопасности полетов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Предприятия и организации, с которыми необходимо согласование, определяет штаб военно-воздушных сил (ВВС) военного округа, в зоне ответственности которого предполагается строительство. Адрес штаба предостав-ляется заказчикам проектной документации или проектным организациям област-ными органами местных органов власти. Согласованию подлежит размещение:</w:t>
      </w:r>
    </w:p>
    <w:p>
      <w:pPr>
        <w:spacing w:after="120"/>
        <w:ind w:firstLine="397"/>
        <w:jc w:val="both"/>
      </w:pPr>
      <w:r>
        <w:rPr>
          <w:rFonts w:ascii="Arial" w:cs="Arial" w:eastAsia="Arial" w:hAnsi="Arial"/>
          <w:sz w:val="24"/>
          <w:szCs w:val="24"/>
        </w:rPr>
        <w:t xml:space="preserve">1) всех объектов в границах полос воздушных подходов к аэродромам, а так же вне границ этих полос в радиусе 10 км от контрольной точки аэродрома;</w:t>
      </w:r>
    </w:p>
    <w:p>
      <w:pPr>
        <w:spacing w:after="120"/>
        <w:ind w:firstLine="397"/>
        <w:jc w:val="both"/>
      </w:pPr>
      <w:r>
        <w:rPr>
          <w:rFonts w:ascii="Arial" w:cs="Arial" w:eastAsia="Arial" w:hAnsi="Arial"/>
          <w:sz w:val="24"/>
          <w:szCs w:val="24"/>
        </w:rPr>
        <w:t xml:space="preserve">2) объектов в радиусе 30 км от КТА, высота которых относительно уровня аэродрома 50 м и более;</w:t>
      </w:r>
    </w:p>
    <w:p>
      <w:pPr>
        <w:spacing w:after="120"/>
        <w:ind w:firstLine="397"/>
        <w:jc w:val="both"/>
      </w:pPr>
      <w:r>
        <w:rPr>
          <w:rFonts w:ascii="Arial" w:cs="Arial" w:eastAsia="Arial" w:hAnsi="Arial"/>
          <w:sz w:val="24"/>
          <w:szCs w:val="24"/>
        </w:rPr>
        <w:t xml:space="preserve">независимо от места размещения:</w:t>
      </w:r>
    </w:p>
    <w:p>
      <w:pPr>
        <w:spacing w:after="120"/>
        <w:ind w:firstLine="397"/>
        <w:jc w:val="both"/>
      </w:pPr>
      <w:r>
        <w:rPr>
          <w:rFonts w:ascii="Arial" w:cs="Arial" w:eastAsia="Arial" w:hAnsi="Arial"/>
          <w:sz w:val="24"/>
          <w:szCs w:val="24"/>
        </w:rPr>
        <w:t xml:space="preserve">3) объектов высотой от поверхности земли 50 м и более;</w:t>
      </w:r>
    </w:p>
    <w:p>
      <w:pPr>
        <w:spacing w:after="120"/>
        <w:ind w:firstLine="397"/>
        <w:jc w:val="both"/>
      </w:pPr>
      <w:r>
        <w:rPr>
          <w:rFonts w:ascii="Arial" w:cs="Arial" w:eastAsia="Arial" w:hAnsi="Arial"/>
          <w:sz w:val="24"/>
          <w:szCs w:val="24"/>
        </w:rPr>
        <w:t xml:space="preserve">4) линии связи, электропередачи, а также других объектов радио- и электромагнитных излучений, которые могут создавать помехи для нормальной работы радиотехнических средств;</w:t>
      </w:r>
    </w:p>
    <w:p>
      <w:pPr>
        <w:spacing w:after="120"/>
        <w:ind w:firstLine="397"/>
        <w:jc w:val="both"/>
      </w:pPr>
      <w:r>
        <w:rPr>
          <w:rFonts w:ascii="Arial" w:cs="Arial" w:eastAsia="Arial" w:hAnsi="Arial"/>
          <w:sz w:val="24"/>
          <w:szCs w:val="24"/>
        </w:rPr>
        <w:t xml:space="preserve">5) взрывоопасных объектов;</w:t>
      </w:r>
    </w:p>
    <w:p>
      <w:pPr>
        <w:spacing w:after="120"/>
        <w:ind w:firstLine="397"/>
        <w:jc w:val="both"/>
      </w:pPr>
      <w:r>
        <w:rPr>
          <w:rFonts w:ascii="Arial" w:cs="Arial" w:eastAsia="Arial" w:hAnsi="Arial"/>
          <w:sz w:val="24"/>
          <w:szCs w:val="24"/>
        </w:rPr>
        <w:t xml:space="preserve">6) факельных устройств для аварийного сжигания сбрасываемых газов1;</w:t>
      </w:r>
    </w:p>
    <w:p>
      <w:pPr>
        <w:spacing w:after="120"/>
        <w:ind w:firstLine="397"/>
        <w:jc w:val="both"/>
      </w:pPr>
      <w:r>
        <w:rPr>
          <w:rFonts w:ascii="Arial" w:cs="Arial" w:eastAsia="Arial" w:hAnsi="Arial"/>
          <w:sz w:val="24"/>
          <w:szCs w:val="24"/>
        </w:rPr>
        <w:t xml:space="preserve">При определении высоты факельных устройств учитывается максимально возможная высота выброса пламени.</w:t>
      </w:r>
    </w:p>
    <w:p>
      <w:pPr>
        <w:spacing w:after="120"/>
        <w:ind w:firstLine="397"/>
        <w:jc w:val="both"/>
      </w:pPr>
      <w:r>
        <w:rPr>
          <w:rFonts w:ascii="Arial" w:cs="Arial" w:eastAsia="Arial" w:hAnsi="Arial"/>
          <w:sz w:val="24"/>
          <w:szCs w:val="24"/>
        </w:rPr>
        <w:t xml:space="preserve">7) промышленных и иных предприятий и сооружений, деятельность которая приведет к ухудшению видимости в районах аэродромов.</w:t>
      </w:r>
    </w:p>
    <w:p>
      <w:pPr>
        <w:spacing w:after="120"/>
        <w:ind w:firstLine="397"/>
        <w:jc w:val="both"/>
      </w:pPr>
      <w:r>
        <w:rPr>
          <w:rFonts w:ascii="Arial" w:cs="Arial" w:eastAsia="Arial" w:hAnsi="Arial"/>
          <w:sz w:val="24"/>
          <w:szCs w:val="24"/>
        </w:rPr>
        <w:t xml:space="preserve">Размещение объектов, указанных в п.п. 3-7, независимо от места их размещения, подлежит согласованию с штабом военного округа и штабом ВВС, на территории и в зоне ответственности которых предполагается строительство.</w:t>
      </w:r>
    </w:p>
    <w:p>
      <w:pPr>
        <w:spacing w:after="120"/>
        <w:ind w:firstLine="397"/>
        <w:jc w:val="both"/>
      </w:pPr>
      <w:r>
        <w:rPr>
          <w:rFonts w:ascii="Arial" w:cs="Arial" w:eastAsia="Arial" w:hAnsi="Arial"/>
          <w:sz w:val="24"/>
          <w:szCs w:val="24"/>
        </w:rPr>
        <w:t xml:space="preserve">Запрещается размещать на расстоянии ближе 15 км от контрольной точки аэродрома места выброса пищевых отходов, строительство звероводческих ферм, скотобоен и других объектов, отличающихся привлечением и массовым скоплением птиц.</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Указанные согласования утрачивают силу, если в течении трех лет возведение соответствующих объектов не начато.</w:t>
      </w:r>
    </w:p>
    <w:p>
      <w:pPr>
        <w:spacing w:after="120"/>
        <w:ind w:firstLine="397"/>
        <w:jc w:val="both"/>
      </w:pPr>
      <w:r>
        <w:rPr>
          <w:rFonts w:ascii="Arial" w:cs="Arial" w:eastAsia="Arial" w:hAnsi="Arial"/>
          <w:sz w:val="24"/>
          <w:szCs w:val="24"/>
        </w:rPr>
        <w:t xml:space="preserve">2. Контрольная точка аэродромов располагается вблизи геометрического центра аэродрома: </w:t>
      </w:r>
    </w:p>
    <w:p>
      <w:pPr>
        <w:spacing w:after="120"/>
        <w:ind w:firstLine="397"/>
        <w:jc w:val="both"/>
      </w:pPr>
      <w:r>
        <w:rPr>
          <w:rFonts w:ascii="Arial" w:cs="Arial" w:eastAsia="Arial" w:hAnsi="Arial"/>
          <w:sz w:val="24"/>
          <w:szCs w:val="24"/>
        </w:rPr>
        <w:t xml:space="preserve">при одной взлетно-посадочной полосе (ВПП) - в ее центре; </w:t>
      </w:r>
    </w:p>
    <w:p>
      <w:pPr>
        <w:spacing w:after="120"/>
        <w:ind w:firstLine="397"/>
        <w:jc w:val="both"/>
      </w:pPr>
      <w:r>
        <w:rPr>
          <w:rFonts w:ascii="Arial" w:cs="Arial" w:eastAsia="Arial" w:hAnsi="Arial"/>
          <w:sz w:val="24"/>
          <w:szCs w:val="24"/>
        </w:rPr>
        <w:t xml:space="preserve">при двух параллельных ВПП – в середине прямой, соединяющий их центры;</w:t>
      </w:r>
    </w:p>
    <w:p>
      <w:pPr>
        <w:spacing w:after="120"/>
        <w:ind w:firstLine="397"/>
        <w:jc w:val="both"/>
      </w:pPr>
      <w:r>
        <w:rPr>
          <w:rFonts w:ascii="Arial" w:cs="Arial" w:eastAsia="Arial" w:hAnsi="Arial"/>
          <w:sz w:val="24"/>
          <w:szCs w:val="24"/>
        </w:rPr>
        <w:t xml:space="preserve">при двух непараллельных ВПП – в точке пересечения перпендикуляров, восстановленных из центров ВПП.</w:t>
      </w:r>
    </w:p>
    <w:p>
      <w:pPr>
        <w:spacing w:after="120"/>
        <w:ind w:firstLine="397"/>
        <w:jc w:val="both"/>
      </w:pPr>
      <w:r>
        <w:rPr>
          <w:rFonts w:ascii="Arial" w:cs="Arial" w:eastAsia="Arial" w:hAnsi="Arial"/>
          <w:sz w:val="24"/>
          <w:szCs w:val="24"/>
        </w:rPr>
        <w:t xml:space="preserve">3. В документах, представляемых на согласование размещения высотных сооружений, во всех случаях необходимо указывать координаты расположения проектируемых сооружений.</w:t>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Размеры приусадебных и приквартирных земельных участков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Размеры земельных участков, выделяемых около жилых домов на индивидуальный дом или квартиру, в зависимости от применяемых типов жилых домов, характера формирующейся застройки (среды), ее размещения в структуре городов разной величины, следующие:</w:t>
      </w:r>
    </w:p>
    <w:p>
      <w:pPr>
        <w:spacing w:after="120"/>
        <w:ind w:firstLine="397"/>
        <w:jc w:val="both"/>
      </w:pPr>
      <w:r>
        <w:rPr>
          <w:rFonts w:ascii="Arial" w:cs="Arial" w:eastAsia="Arial" w:hAnsi="Arial"/>
          <w:sz w:val="24"/>
          <w:szCs w:val="24"/>
        </w:rPr>
        <w:t xml:space="preserve">400-600 м2 и более (включая площадь застройки) - при одно-, двухквартирных одно-, двухэтажных домах в застройке усадебного типа на новых периферийных территориях или при реконструкции существующей индивидуальной усадебной застройки малых городов, на резервных территориях малых и средних городов в сельскохозяйственных районах, в новых или развивающихся населенных пунктах в пригородных зонах городов любой величины;</w:t>
      </w:r>
    </w:p>
    <w:p>
      <w:pPr>
        <w:spacing w:after="120"/>
        <w:ind w:firstLine="397"/>
        <w:jc w:val="both"/>
      </w:pPr>
      <w:r>
        <w:rPr>
          <w:rFonts w:ascii="Arial" w:cs="Arial" w:eastAsia="Arial" w:hAnsi="Arial"/>
          <w:sz w:val="24"/>
          <w:szCs w:val="24"/>
        </w:rPr>
        <w:t xml:space="preserve">200-400 м2 (включая площадь застройки) – при одно-, двух-, или четырехквартирных одно-, двухэтажных домах в застройке от коттеджного типа на новых периферийных территориях малых, средних и больших городов, на резервных территориях больших городов, при реконструкции существующей индивидуальной усадебной застройки и в новых и развивающихся населенных пунктах в пригородной зоне городов любой величины;</w:t>
      </w:r>
    </w:p>
    <w:p>
      <w:pPr>
        <w:spacing w:after="120"/>
        <w:ind w:firstLine="397"/>
        <w:jc w:val="both"/>
      </w:pPr>
      <w:r>
        <w:rPr>
          <w:rFonts w:ascii="Arial" w:cs="Arial" w:eastAsia="Arial" w:hAnsi="Arial"/>
          <w:sz w:val="24"/>
          <w:szCs w:val="24"/>
        </w:rPr>
        <w:t xml:space="preserve">60-100 м2 (без площади застройки) – при многоквартирных одно-, двух-, трехэтажных домах в застройке блокированного типа на новых периферийных территориях малых, средних и больших городов, в новых и развивающихся поселках в пригородной зоне крупных и крупнейших городов и в условиях реконструкции существующей индивидуальной усадебной застройки городов любой величины;</w:t>
      </w:r>
    </w:p>
    <w:p>
      <w:pPr>
        <w:spacing w:after="120"/>
        <w:ind w:firstLine="397"/>
        <w:jc w:val="both"/>
      </w:pPr>
      <w:r>
        <w:rPr>
          <w:rFonts w:ascii="Arial" w:cs="Arial" w:eastAsia="Arial" w:hAnsi="Arial"/>
          <w:sz w:val="24"/>
          <w:szCs w:val="24"/>
        </w:rPr>
        <w:t xml:space="preserve">30-60 м2 (без площади застройки) – при многоквартирных одно-, двух-, трехэтажных блокированных домах или 2-, 3-, 4(5) – этажных домах сложной объемно-пространственной структуры (в том числе только для квартир первых этажей) в городах любой величины при применении плотной малоэтажной застройки и в условиях реконструкции.</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В соответствии с земельным кодексом Кыргызской Республики при осуществлении компактной застройки населенных пунктов земельные участки для ведения личного подсобного хозяйства около дома (квартиры) предоставляются в меньшем размере с выделением остальной части участка за пределами жилой зоны населенных пунктов.</w:t>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Расчетная плотность населения территории жилого района и микрорайона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Расчетная плотность населения, чел/га, территории жилого района рекомендуется принимать не менее приведенной в таблице Г.1, а территории микрорайона – не менее приведенной в таблице Г.2. Число зон различной степени градостроительной ценности территории и их границы определяются по согласованию главным с архитектором областей с учетом оценки стоимости земли, плотности инженерных и транспортных магистральных сетей, насыщенности общественными объектами, капиталовложений в инженерную подготовку территории, наличия историко-культурных и архитектурно-ландшафтных ценностей.</w:t>
      </w:r>
    </w:p>
    <w:p>
      <w:pPr>
        <w:spacing w:after="120"/>
        <w:ind w:firstLine="397"/>
        <w:jc w:val="both"/>
      </w:pPr>
      <w:r>
        <w:rPr>
          <w:rFonts w:ascii="Arial" w:cs="Arial" w:eastAsia="Arial" w:hAnsi="Arial"/>
          <w:sz w:val="24"/>
          <w:szCs w:val="24"/>
        </w:rPr>
        <w:t xml:space="preserve">Таблица Г.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2"/>
        <w:gridCol w:w="989"/>
        <w:gridCol w:w="989"/>
        <w:gridCol w:w="989"/>
        <w:gridCol w:w="989"/>
        <w:gridCol w:w="989"/>
        <w:gridCol w:w="989"/>
        <w:gridCol w:w="989"/>
      </w:tblGrid>
      <w:tr>
        <w:tc>
          <w:tcPr>
            <w:tcW w:type="dxa" w:w="325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 различной степени градостроительной ценности территории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923"/>
            <w:gridSpan w:val="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территории жилого района, чел/га, для групп городов с числом жителей, тыс. чел.</w:t>
            </w:r>
          </w:p>
        </w:tc>
      </w:tr>
      <w:tr>
        <w:tc>
          <w:tcPr>
            <w:vMerge w:val="continue"/>
            <w:tcBorders>
              <w:top w:val="single" w:color="CBBF9E" w:sz="4"/>
              <w:left w:val="single" w:color="CBBF9E" w:sz="4"/>
              <w:bottom w:val="single" w:color="CBBF9E" w:sz="4"/>
              <w:right w:val="single" w:color="CBBF9E" w:sz="4"/>
            </w:tcBorders>
          </w:tcP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w:t>
            </w:r>
          </w:p>
          <w:p>
            <w:pPr>
              <w:jc w:val="both"/>
            </w:pPr>
            <w:r>
              <w:rPr>
                <w:rFonts w:ascii="Arial" w:cs="Arial" w:eastAsia="Arial" w:hAnsi="Arial"/>
                <w:sz w:val="24"/>
                <w:szCs w:val="24"/>
              </w:rPr>
              <w:t xml:space="preserve">20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50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100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250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p>
            <w:pPr>
              <w:jc w:val="both"/>
            </w:pPr>
            <w:r>
              <w:rPr>
                <w:rFonts w:ascii="Arial" w:cs="Arial" w:eastAsia="Arial" w:hAnsi="Arial"/>
                <w:sz w:val="24"/>
                <w:szCs w:val="24"/>
              </w:rPr>
              <w:t xml:space="preserve">500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1000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w:t>
            </w:r>
          </w:p>
          <w:p>
            <w:pPr>
              <w:jc w:val="both"/>
            </w:pPr>
            <w:r>
              <w:rPr>
                <w:rFonts w:ascii="Arial" w:cs="Arial" w:eastAsia="Arial" w:hAnsi="Arial"/>
                <w:sz w:val="24"/>
                <w:szCs w:val="24"/>
              </w:rPr>
              <w:t xml:space="preserve">1000</w:t>
            </w:r>
          </w:p>
        </w:tc>
      </w:tr>
      <w:tr>
        <w:tc>
          <w:tcPr>
            <w:tcW w:type="dxa" w:w="32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Высокая</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r>
      <w:tr>
        <w:tc>
          <w:tcPr>
            <w:tcW w:type="dxa" w:w="32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Средняя</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r>
      <w:tr>
        <w:tc>
          <w:tcPr>
            <w:tcW w:type="dxa" w:w="32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Низкая</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r>
    </w:tbl>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На площадках, требующих сложных мероприятий по инженерной подготовке территории, плотность населения следует увеличивать, но не более чем на 20%.</w:t>
      </w:r>
    </w:p>
    <w:p>
      <w:pPr>
        <w:spacing w:after="120"/>
        <w:ind w:firstLine="397"/>
        <w:jc w:val="both"/>
      </w:pPr>
      <w:r>
        <w:rPr>
          <w:rFonts w:ascii="Arial" w:cs="Arial" w:eastAsia="Arial" w:hAnsi="Arial"/>
          <w:sz w:val="24"/>
          <w:szCs w:val="24"/>
        </w:rPr>
        <w:t xml:space="preserve">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плотность населения устанавливается заданием на проектирование.</w:t>
      </w:r>
    </w:p>
    <w:p>
      <w:pPr>
        <w:spacing w:after="120"/>
        <w:ind w:firstLine="397"/>
        <w:jc w:val="both"/>
      </w:pPr>
      <w:r>
        <w:rPr>
          <w:rFonts w:ascii="Arial" w:cs="Arial" w:eastAsia="Arial" w:hAnsi="Arial"/>
          <w:sz w:val="24"/>
          <w:szCs w:val="24"/>
        </w:rPr>
        <w:t xml:space="preserve">В районах индивидуального усадебного строительства и в населенных пунктах, где не намечается строительство централизованных инженерных систем, допускается уменьшать плотность населения, но принимать ее не менее 40 чел/га.</w:t>
      </w:r>
    </w:p>
    <w:p>
      <w:pPr>
        <w:spacing w:after="120"/>
        <w:ind w:firstLine="397"/>
        <w:jc w:val="both"/>
      </w:pPr>
      <w:r>
        <w:rPr>
          <w:rFonts w:ascii="Arial" w:cs="Arial" w:eastAsia="Arial" w:hAnsi="Arial"/>
          <w:sz w:val="24"/>
          <w:szCs w:val="24"/>
        </w:rPr>
        <w:t xml:space="preserve">Таблица Г.2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0"/>
        <w:gridCol w:w="3779"/>
        <w:gridCol w:w="3779"/>
      </w:tblGrid>
      <w:tr>
        <w:tc>
          <w:tcPr>
            <w:tcW w:type="dxa" w:w="262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 различной</w:t>
            </w:r>
          </w:p>
          <w:p>
            <w:pPr>
              <w:jc w:val="both"/>
            </w:pPr>
            <w:r>
              <w:rPr>
                <w:rFonts w:ascii="Arial" w:cs="Arial" w:eastAsia="Arial" w:hAnsi="Arial"/>
                <w:sz w:val="24"/>
                <w:szCs w:val="24"/>
              </w:rPr>
              <w:t xml:space="preserve">степени градострои-тельной ценности территории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55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на территорию микрорайона,</w:t>
            </w:r>
          </w:p>
          <w:p>
            <w:pPr>
              <w:jc w:val="both"/>
            </w:pPr>
            <w:r>
              <w:rPr>
                <w:rFonts w:ascii="Arial" w:cs="Arial" w:eastAsia="Arial" w:hAnsi="Arial"/>
                <w:sz w:val="24"/>
                <w:szCs w:val="24"/>
              </w:rPr>
              <w:t xml:space="preserve">чел/га для климатических подрайонов</w:t>
            </w:r>
          </w:p>
        </w:tc>
      </w:tr>
      <w:tr>
        <w:tc>
          <w:tcPr>
            <w:vMerge w:val="continue"/>
            <w:tcBorders>
              <w:top w:val="single" w:color="CBBF9E" w:sz="4"/>
              <w:left w:val="single" w:color="CBBF9E" w:sz="4"/>
              <w:bottom w:val="single" w:color="CBBF9E" w:sz="4"/>
              <w:right w:val="single" w:color="CBBF9E" w:sz="4"/>
            </w:tcBorders>
          </w:tcP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подрайоны IА, IГ, южнее 58°с.ш.</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южнее 58°с.ш. кроме части подрайонов IА, IГ, входящих в данную зону</w:t>
            </w:r>
          </w:p>
        </w:tc>
      </w:tr>
      <w:tr>
        <w:tc>
          <w:tcPr>
            <w:tcW w:type="dxa" w:w="26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Высокая</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w:t>
            </w:r>
          </w:p>
        </w:tc>
      </w:tr>
      <w:tr>
        <w:tc>
          <w:tcPr>
            <w:tcW w:type="dxa" w:w="26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Средняя</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26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Низкая</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r>
    </w:tbl>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Границы расчетной территории микрорайона следует устанавливать по красным линиям магистральных и жилых улиц, по осям проездов или пешеходных путей, по естественным рубежам, а при их отсутствии - на расстоянии 3м. от линии застройки. Из расчетной территории должны быть исключены площади участков объектов районного и общегородского значений,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 В расчетную территорию следует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поперечная профиль улиц, разделяющих кварталы и сохраняемых для пешеходных передвижений внутри микрорайона или для подъезда к зданиям, показывается отдельно.</w:t>
      </w:r>
    </w:p>
    <w:p>
      <w:pPr>
        <w:spacing w:after="120"/>
        <w:ind w:firstLine="397"/>
        <w:jc w:val="both"/>
      </w:pPr>
      <w:r>
        <w:rPr>
          <w:rFonts w:ascii="Arial" w:cs="Arial" w:eastAsia="Arial" w:hAnsi="Arial"/>
          <w:sz w:val="24"/>
          <w:szCs w:val="24"/>
        </w:rPr>
        <w:t xml:space="preserve">2. В условиях реконструкции сложившейся застройки расчетную плотность населения допускается увеличивать или уменьшать, но не более чем на 10%.</w:t>
      </w:r>
    </w:p>
    <w:p>
      <w:pPr>
        <w:spacing w:after="120"/>
        <w:ind w:firstLine="397"/>
        <w:jc w:val="both"/>
      </w:pPr>
      <w:r>
        <w:rPr>
          <w:rFonts w:ascii="Arial" w:cs="Arial" w:eastAsia="Arial" w:hAnsi="Arial"/>
          <w:sz w:val="24"/>
          <w:szCs w:val="24"/>
        </w:rPr>
        <w:t xml:space="preserve">3. В крупных и крупнейших городах при применении высокоплотной 2-, 3-, 4(5)-этажной жилой застройки расчетную плотность населения на один гектар территории следует принимать не менее чем для зоны высокой градостроительной ценности территории городов и населенных пунктов.</w:t>
      </w:r>
    </w:p>
    <w:p>
      <w:pPr>
        <w:spacing w:after="120"/>
        <w:ind w:firstLine="397"/>
        <w:jc w:val="both"/>
      </w:pPr>
      <w:r>
        <w:rPr>
          <w:rFonts w:ascii="Arial" w:cs="Arial" w:eastAsia="Arial" w:hAnsi="Arial"/>
          <w:sz w:val="24"/>
          <w:szCs w:val="24"/>
        </w:rPr>
        <w:t xml:space="preserve">4. При формировании в микрорайоне единого физкультурно- оздоровительного комплекса для школьников и населения и уменьшения удельных размеров площадок для занятий физкультурой, приведенных в п. 5.15 настоящего свода правил, необходимо соответственно увеличивать плотность населения.</w:t>
      </w:r>
    </w:p>
    <w:p>
      <w:pPr>
        <w:spacing w:after="120"/>
        <w:ind w:firstLine="397"/>
        <w:jc w:val="both"/>
      </w:pPr>
      <w:r>
        <w:rPr>
          <w:rFonts w:ascii="Arial" w:cs="Arial" w:eastAsia="Arial" w:hAnsi="Arial"/>
          <w:sz w:val="24"/>
          <w:szCs w:val="24"/>
        </w:rPr>
        <w:t xml:space="preserve">5. При застройке территорий, примыкающих к лесам и лесопаркам или расположенных в их окружении, суммарную площадь озелененных территорий допускается уменьшать, но не более чем на 30%, соответственно увеличивать плотность населения.</w:t>
      </w:r>
    </w:p>
    <w:p>
      <w:pPr>
        <w:spacing w:after="120"/>
        <w:ind w:firstLine="397"/>
        <w:jc w:val="both"/>
      </w:pPr>
      <w:r>
        <w:rPr>
          <w:rFonts w:ascii="Arial" w:cs="Arial" w:eastAsia="Arial" w:hAnsi="Arial"/>
          <w:sz w:val="24"/>
          <w:szCs w:val="24"/>
        </w:rPr>
        <w:t xml:space="preserve">6. Показатели плотности приведены при расчетной жилищной обеспеченности 18м2/чел. При другой жилищной обеспеченности расчетную нормативную плотность Р, чел/га, следует определять по формуле:</w:t>
      </w:r>
    </w:p>
    <w:p>
      <w:pPr>
        <w:spacing w:after="120"/>
        <w:ind w:firstLine="397"/>
        <w:jc w:val="both"/>
      </w:pPr>
      <w:r>
        <w:rPr>
          <w:rFonts w:ascii="Arial" w:cs="Arial" w:eastAsia="Arial" w:hAnsi="Arial"/>
          <w:sz w:val="24"/>
          <w:szCs w:val="24"/>
        </w:rPr>
        <w:t xml:space="preserve">P=P1818/H,</w:t>
      </w:r>
    </w:p>
    <w:p>
      <w:pPr>
        <w:spacing w:after="120"/>
        <w:ind w:firstLine="397"/>
        <w:jc w:val="both"/>
      </w:pPr>
      <w:r>
        <w:rPr>
          <w:rFonts w:ascii="Arial" w:cs="Arial" w:eastAsia="Arial" w:hAnsi="Arial"/>
          <w:sz w:val="24"/>
          <w:szCs w:val="24"/>
        </w:rPr>
        <w:t xml:space="preserve">где P18 показатель плотности при 18м2/чел.; </w:t>
      </w:r>
    </w:p>
    <w:p>
      <w:pPr>
        <w:spacing w:after="120"/>
        <w:ind w:firstLine="397"/>
        <w:jc w:val="both"/>
      </w:pPr>
      <w:r>
        <w:rPr>
          <w:rFonts w:ascii="Arial" w:cs="Arial" w:eastAsia="Arial" w:hAnsi="Arial"/>
          <w:sz w:val="24"/>
          <w:szCs w:val="24"/>
        </w:rPr>
        <w:t xml:space="preserve">Н - расчетная жилищная обеспеченность, м2.</w:t>
      </w:r>
    </w:p>
    <w:p>
      <w:pPr>
        <w:spacing w:after="120"/>
        <w:jc w:val="right"/>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Площади и размеры земельных участков складов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Д. 1. - Площадь и размеры земельных участков общетоварных складов на </w:t>
      </w:r>
    </w:p>
    <w:p>
      <w:pPr>
        <w:spacing w:after="120"/>
        <w:ind w:firstLine="397"/>
        <w:jc w:val="both"/>
      </w:pPr>
      <w:r>
        <w:rPr>
          <w:rFonts w:ascii="Arial" w:cs="Arial" w:eastAsia="Arial" w:hAnsi="Arial"/>
          <w:sz w:val="24"/>
          <w:szCs w:val="24"/>
        </w:rPr>
        <w:t xml:space="preserve"> 1 тыс.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8"/>
        <w:gridCol w:w="3536"/>
        <w:gridCol w:w="3714"/>
      </w:tblGrid>
      <w:tr>
        <w:tc>
          <w:tcPr>
            <w:tcW w:type="dxa" w:w="29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общетоварные</w:t>
            </w:r>
          </w:p>
        </w:tc>
        <w:tc>
          <w:tcPr>
            <w:tcW w:type="dxa" w:w="3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складов, м2</w:t>
            </w:r>
          </w:p>
        </w:tc>
        <w:tc>
          <w:tcPr>
            <w:tcW w:type="dxa" w:w="3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м2</w:t>
            </w:r>
          </w:p>
        </w:tc>
      </w:tr>
      <w:tr>
        <w:tc>
          <w:tcPr>
            <w:tcW w:type="dxa" w:w="29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Продовольственных товаров</w:t>
            </w:r>
          </w:p>
        </w:tc>
        <w:tc>
          <w:tcPr>
            <w:tcW w:type="dxa" w:w="3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w:t>
            </w:r>
          </w:p>
        </w:tc>
        <w:tc>
          <w:tcPr>
            <w:tcW w:type="dxa" w:w="3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310*/210</w:t>
            </w:r>
          </w:p>
        </w:tc>
      </w:tr>
      <w:tr>
        <w:tc>
          <w:tcPr>
            <w:tcW w:type="dxa" w:w="29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Непродовольственных товаров</w:t>
            </w:r>
          </w:p>
        </w:tc>
        <w:tc>
          <w:tcPr>
            <w:tcW w:type="dxa" w:w="3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217</w:t>
            </w:r>
          </w:p>
        </w:tc>
        <w:tc>
          <w:tcPr>
            <w:tcW w:type="dxa" w:w="3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740*/490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чертой приведены нормы для одноэтажных складов, под чертой – для многоэтажных (при средней высоте этажей 6 м).</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 При размещении общетоварных складов в составе специализированных групп размеры земельных участков рекомендуется сокращать на 30%.</w:t>
      </w:r>
    </w:p>
    <w:p>
      <w:pPr>
        <w:spacing w:after="120"/>
        <w:ind w:firstLine="397"/>
        <w:jc w:val="both"/>
      </w:pPr>
      <w:r>
        <w:rPr>
          <w:rFonts w:ascii="Arial" w:cs="Arial" w:eastAsia="Arial" w:hAnsi="Arial"/>
          <w:sz w:val="24"/>
          <w:szCs w:val="24"/>
        </w:rPr>
        <w:t xml:space="preserve"> В зонах срочного завоза товаров в склады размеры земельных участков следует увеличивать на 40%.</w:t>
      </w:r>
    </w:p>
    <w:p>
      <w:pPr>
        <w:spacing w:after="120"/>
        <w:ind w:firstLine="397"/>
        <w:jc w:val="both"/>
      </w:pPr>
      <w:r>
        <w:rPr>
          <w:rFonts w:ascii="Arial" w:cs="Arial" w:eastAsia="Arial" w:hAnsi="Arial"/>
          <w:sz w:val="24"/>
          <w:szCs w:val="24"/>
        </w:rPr>
        <w:t xml:space="preserve"> При преимущественном хранении товарных запасов в сельских населенных пунктах площадь складов и размеры земельных участков в них увеличиваются с одновременным уменьшением этих показателей в городах.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Д.2 – Вместимость и размеры земельных участков</w:t>
      </w:r>
    </w:p>
    <w:p>
      <w:pPr>
        <w:spacing w:after="120"/>
        <w:ind w:firstLine="397"/>
        <w:jc w:val="both"/>
      </w:pPr>
      <w:r>
        <w:rPr>
          <w:rFonts w:ascii="Arial" w:cs="Arial" w:eastAsia="Arial" w:hAnsi="Arial"/>
          <w:sz w:val="24"/>
          <w:szCs w:val="24"/>
        </w:rPr>
        <w:t xml:space="preserve"> специализированных складов на 1 тыс. чел.</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2"/>
        <w:gridCol w:w="2978"/>
        <w:gridCol w:w="2978"/>
      </w:tblGrid>
      <w:tr>
        <w:tc>
          <w:tcPr>
            <w:tcW w:type="dxa" w:w="42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специализированные</w:t>
            </w:r>
          </w:p>
        </w:tc>
        <w:tc>
          <w:tcPr>
            <w:tcW w:type="dxa" w:w="2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 складов, т</w:t>
            </w:r>
          </w:p>
        </w:tc>
        <w:tc>
          <w:tcPr>
            <w:tcW w:type="dxa" w:w="2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м2</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Холодильники распределительные (для хранения мяса и мясных продуктов, рыбы и рыбопродуктов, масла, молочных продуктов и яиц)</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27</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190*/70</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Фруктохранилища Овощехранилище Картофелехранилище</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p>
            <w:pPr>
              <w:jc w:val="both"/>
            </w:pPr>
            <w:r>
              <w:rPr>
                <w:rFonts w:ascii="Arial" w:cs="Arial" w:eastAsia="Arial" w:hAnsi="Arial"/>
                <w:sz w:val="24"/>
                <w:szCs w:val="24"/>
              </w:rPr>
              <w:t xml:space="preserve">54</w:t>
            </w:r>
          </w:p>
          <w:p>
            <w:pPr>
              <w:jc w:val="both"/>
            </w:pPr>
            <w:r>
              <w:rPr>
                <w:rFonts w:ascii="Arial" w:cs="Arial" w:eastAsia="Arial" w:hAnsi="Arial"/>
                <w:sz w:val="24"/>
                <w:szCs w:val="24"/>
              </w:rPr>
              <w:t xml:space="preserve">57</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1300*/610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числителе приведены нормы для одноэтажных складов, в знаменателе - для многоэтажных.</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В районах выращивания и заготовок картофеля, овощей и фруктов вместимость складов и соответственно размеры площади земельных участков принимается с коэффициентом 0,6.</w:t>
      </w:r>
    </w:p>
    <w:p>
      <w:pPr>
        <w:spacing w:after="120"/>
        <w:ind w:firstLine="397"/>
        <w:jc w:val="both"/>
      </w:pPr>
      <w:r>
        <w:rPr>
          <w:rFonts w:ascii="Arial" w:cs="Arial" w:eastAsia="Arial" w:hAnsi="Arial"/>
          <w:sz w:val="24"/>
          <w:szCs w:val="24"/>
        </w:rPr>
        <w:t xml:space="preserve">Вместимость хранилищ картофеля и фруктов и размеры земельных участков для хранилищ в городах следует уменьшать за счет организации внегородского хранения, доля которого устанавливается местными органами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Д.3 – Вместимость складов для вахтовых и экспедиционных  поселков на 1 чел.</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1"/>
        <w:gridCol w:w="3344"/>
        <w:gridCol w:w="3344"/>
      </w:tblGrid>
      <w:tr>
        <w:tc>
          <w:tcPr>
            <w:tcW w:type="dxa" w:w="349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единица измерения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6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 складов для поселков</w:t>
            </w:r>
          </w:p>
        </w:tc>
      </w:tr>
      <w:tr>
        <w:tc>
          <w:tcPr>
            <w:vMerge w:val="continue"/>
            <w:tcBorders>
              <w:top w:val="single" w:color="CBBF9E" w:sz="4"/>
              <w:left w:val="single" w:color="CBBF9E" w:sz="4"/>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вахтовых</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экспедиционных</w:t>
            </w:r>
          </w:p>
        </w:tc>
      </w:tr>
      <w:tr>
        <w:tc>
          <w:tcPr>
            <w:tcW w:type="dxa" w:w="3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Сухих продуктов, м2</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r>
        <w:tc>
          <w:tcPr>
            <w:tcW w:type="dxa" w:w="3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Холодильники, т</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r>
        <w:tc>
          <w:tcPr>
            <w:tcW w:type="dxa" w:w="3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Овощехранилища, картофелехранилища, фруктохранилища, т</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Норма складов сухих продуктов и холодильников установлена исходя из месячного запаса для вахтовых и из годового - для экспедиционных поселков. Нормы овоще-, картофеле- и фруктохранилищ установлены исходя из годового запаса.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Д.4 – Размеры земельных участков складов строительных материалов и твердого топлива на 1 тыс.чел.</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6"/>
        <w:gridCol w:w="5142"/>
      </w:tblGrid>
      <w:tr>
        <w:tc>
          <w:tcPr>
            <w:tcW w:type="dxa" w:w="5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w:t>
            </w:r>
          </w:p>
        </w:tc>
        <w:tc>
          <w:tcPr>
            <w:tcW w:type="dxa" w:w="51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м2</w:t>
            </w:r>
          </w:p>
        </w:tc>
      </w:tr>
      <w:tr>
        <w:tc>
          <w:tcPr>
            <w:tcW w:type="dxa" w:w="5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строительных материалов (потребительские)</w:t>
            </w:r>
          </w:p>
        </w:tc>
        <w:tc>
          <w:tcPr>
            <w:tcW w:type="dxa" w:w="5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5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твердого топлива с преимущественным использованием : </w:t>
            </w:r>
          </w:p>
          <w:p>
            <w:pPr>
              <w:jc w:val="both"/>
            </w:pPr>
            <w:r>
              <w:rPr>
                <w:rFonts w:ascii="Arial" w:cs="Arial" w:eastAsia="Arial" w:hAnsi="Arial"/>
                <w:sz w:val="24"/>
                <w:szCs w:val="24"/>
              </w:rPr>
              <w:t xml:space="preserve">угля </w:t>
            </w:r>
          </w:p>
          <w:p>
            <w:pPr>
              <w:jc w:val="both"/>
            </w:pPr>
            <w:r>
              <w:rPr>
                <w:rFonts w:ascii="Arial" w:cs="Arial" w:eastAsia="Arial" w:hAnsi="Arial"/>
                <w:sz w:val="24"/>
                <w:szCs w:val="24"/>
              </w:rPr>
              <w:t xml:space="preserve">дров</w:t>
            </w:r>
          </w:p>
        </w:tc>
        <w:tc>
          <w:tcPr>
            <w:tcW w:type="dxa" w:w="5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300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Размеры земельных участков складов твердого топлива для климатических подрайонов IA, IГ следует принимать с коэффициентом 1,5, а для IV климатического района- с коэффициентом 0,6.</w:t>
      </w:r>
    </w:p>
    <w:p>
      <w:pPr>
        <w:spacing w:after="120"/>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Нормы расчета учреждений и предприятий обслуживания и размеры их земельных участков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7"/>
        <w:gridCol w:w="3155"/>
        <w:gridCol w:w="2762"/>
        <w:gridCol w:w="2154"/>
      </w:tblGrid>
      <w:tr>
        <w:tc>
          <w:tcPr>
            <w:tcW w:type="dxa" w:w="21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w:t>
            </w:r>
          </w:p>
          <w:p>
            <w:pPr>
              <w:jc w:val="both"/>
            </w:pPr>
            <w:r>
              <w:rPr>
                <w:rFonts w:ascii="Arial" w:cs="Arial" w:eastAsia="Arial" w:hAnsi="Arial"/>
                <w:sz w:val="24"/>
                <w:szCs w:val="24"/>
              </w:rPr>
              <w:t xml:space="preserve">предприятия, сооружения, единица измерения</w:t>
            </w:r>
          </w:p>
        </w:tc>
        <w:tc>
          <w:tcPr>
            <w:tcW w:type="dxa" w:w="31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w:t>
            </w:r>
          </w:p>
        </w:tc>
        <w:tc>
          <w:tcPr>
            <w:tcW w:type="dxa" w:w="27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w:t>
            </w:r>
            <w:r>
              <w:rPr>
                <w:rFonts w:ascii="Arial" w:cs="Arial" w:eastAsia="Arial" w:hAnsi="Arial"/>
                <w:sz w:val="24"/>
                <w:szCs w:val="24"/>
              </w:rPr>
              <w:t xml:space="preserve">, га</w:t>
            </w:r>
          </w:p>
          <w:p>
            <w:pPr>
              <w:jc w:val="both"/>
            </w:pPr>
            <w:r>
              <w:rPr>
                <w:rFonts w:ascii="Arial" w:cs="Arial" w:eastAsia="Arial" w:hAnsi="Arial"/>
                <w:sz w:val="24"/>
                <w:szCs w:val="24"/>
              </w:rPr>
              <w:t xml:space="preserve"/>
            </w:r>
          </w:p>
        </w:tc>
        <w:tc>
          <w:tcPr>
            <w:tcW w:type="dxa" w:w="21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Примечания</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w:t>
            </w:r>
            <w:r>
              <w:rPr>
                <w:rFonts w:ascii="Arial" w:cs="Arial" w:eastAsia="Arial" w:hAnsi="Arial"/>
                <w:sz w:val="24"/>
                <w:szCs w:val="24"/>
              </w:rPr>
              <w:t xml:space="preserve"> образования</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образовательные организации, место</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Устанавливается в зависимости от демографической структуры населенного пункта,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 В населенных пунктах – новостройках2 при отсутствии данных по демографии следует принимать до 180 мест на 1 тыс. чел.; при этом на территории жилой застройки размещать из расчета не более 100 мест на 1 тыс. чел.</w:t>
            </w:r>
          </w:p>
        </w:tc>
        <w:tc>
          <w:tcPr>
            <w:tcW w:type="dxa" w:w="27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вместимости яслей-садов, м2 на 1 место: </w:t>
            </w:r>
          </w:p>
          <w:p>
            <w:pPr>
              <w:jc w:val="both"/>
            </w:pPr>
            <w:r>
              <w:rPr>
                <w:rFonts w:ascii="Arial" w:cs="Arial" w:eastAsia="Arial" w:hAnsi="Arial"/>
                <w:sz w:val="24"/>
                <w:szCs w:val="24"/>
              </w:rPr>
              <w:t xml:space="preserve">до 100 мест – 40, св. 100 –35; в комплексе яслей-садов св. 500 мест – 30. Размеры земельных участков уменьшаются: </w:t>
            </w:r>
          </w:p>
          <w:p>
            <w:pPr>
              <w:jc w:val="both"/>
            </w:pPr>
            <w:r>
              <w:rPr>
                <w:rFonts w:ascii="Arial" w:cs="Arial" w:eastAsia="Arial" w:hAnsi="Arial"/>
                <w:sz w:val="24"/>
                <w:szCs w:val="24"/>
              </w:rPr>
              <w:t xml:space="preserve">на 30-40 % – в климатических подрайонах IA, IГ, на 25 % – в условиях реконструкции; на 15 % – при размещении на рельефе с уклоном более 20%; на 10% – в поселениях-новостройках (за счет сокращения площади озеленения)</w:t>
            </w:r>
          </w:p>
        </w:tc>
        <w:tc>
          <w:tcPr>
            <w:tcW w:type="dxa" w:w="2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групповой площадки для детей ясельного возраста следует принимать 7,5 м2 на 1 место. Игровые площадки для детей дошкольного возраста допускается размещать за пределами участка дошкольных учреждений общего типа</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Крытые бассейны для дошкольников, объект</w:t>
            </w:r>
          </w:p>
        </w:tc>
        <w:tc>
          <w:tcPr>
            <w:tcW w:type="dxa" w:w="807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0"/>
        <w:gridCol w:w="2798"/>
        <w:gridCol w:w="2492"/>
        <w:gridCol w:w="2988"/>
      </w:tblGrid>
      <w:tr>
        <w:tc>
          <w:tcPr>
            <w:tcW w:type="dxa" w:w="190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школы, учащиеся</w:t>
            </w: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27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Следует принимать с учетом 100 %-ного охвата детей неполным средним образованием (</w:t>
            </w:r>
            <w:r>
              <w:rPr>
                <w:rFonts w:ascii="Arial" w:cs="Arial" w:eastAsia="Arial" w:hAnsi="Arial"/>
                <w:sz w:val="24"/>
                <w:szCs w:val="24"/>
              </w:rPr>
              <w:t xml:space="preserve">I</w:t>
            </w:r>
            <w:r>
              <w:rPr>
                <w:rFonts w:ascii="Arial" w:cs="Arial" w:eastAsia="Arial" w:hAnsi="Arial"/>
                <w:sz w:val="24"/>
                <w:szCs w:val="24"/>
              </w:rPr>
              <w:t xml:space="preserve"> – </w:t>
            </w:r>
            <w:r>
              <w:rPr>
                <w:rFonts w:ascii="Arial" w:cs="Arial" w:eastAsia="Arial" w:hAnsi="Arial"/>
                <w:sz w:val="24"/>
                <w:szCs w:val="24"/>
              </w:rPr>
              <w:t xml:space="preserve">IX</w:t>
            </w:r>
            <w:r>
              <w:rPr>
                <w:rFonts w:ascii="Arial" w:cs="Arial" w:eastAsia="Arial" w:hAnsi="Arial"/>
                <w:sz w:val="24"/>
                <w:szCs w:val="24"/>
              </w:rPr>
              <w:t xml:space="preserve"> классы)  и до 75 % детей – средним образованием (</w:t>
            </w:r>
            <w:r>
              <w:rPr>
                <w:rFonts w:ascii="Arial" w:cs="Arial" w:eastAsia="Arial" w:hAnsi="Arial"/>
                <w:sz w:val="24"/>
                <w:szCs w:val="24"/>
              </w:rPr>
              <w:t xml:space="preserve">X</w:t>
            </w:r>
            <w:r>
              <w:rPr>
                <w:rFonts w:ascii="Arial" w:cs="Arial" w:eastAsia="Arial" w:hAnsi="Arial"/>
                <w:sz w:val="24"/>
                <w:szCs w:val="24"/>
              </w:rPr>
              <w:t xml:space="preserve">-</w:t>
            </w:r>
            <w:r>
              <w:rPr>
                <w:rFonts w:ascii="Arial" w:cs="Arial" w:eastAsia="Arial" w:hAnsi="Arial"/>
                <w:sz w:val="24"/>
                <w:szCs w:val="24"/>
              </w:rPr>
              <w:t xml:space="preserve">XI</w:t>
            </w:r>
            <w:r>
              <w:rPr>
                <w:rFonts w:ascii="Arial" w:cs="Arial" w:eastAsia="Arial" w:hAnsi="Arial"/>
                <w:sz w:val="24"/>
                <w:szCs w:val="24"/>
              </w:rPr>
              <w:t xml:space="preserve">   классы), при обучении в одну смену. В населенных пунктах- новостройках необходимо принимать не менее  180 мест на 1 тыс. чел.</w:t>
            </w:r>
          </w:p>
        </w:tc>
        <w:tc>
          <w:tcPr>
            <w:tcW w:type="dxa" w:w="24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вместимости общеобразовательной школы, учащихся</w:t>
            </w:r>
            <w:r>
              <w:rPr>
                <w:rFonts w:ascii="Arial" w:cs="Arial" w:eastAsia="Arial" w:hAnsi="Arial"/>
                <w:sz w:val="24"/>
                <w:szCs w:val="24"/>
              </w:rPr>
              <w:t xml:space="preserve">3</w:t>
            </w:r>
            <w:r>
              <w:rPr>
                <w:rFonts w:ascii="Arial" w:cs="Arial" w:eastAsia="Arial" w:hAnsi="Arial"/>
                <w:sz w:val="24"/>
                <w:szCs w:val="24"/>
              </w:rPr>
              <w:t xml:space="preserve">:</w:t>
            </w:r>
          </w:p>
          <w:p>
            <w:pPr>
              <w:jc w:val="both"/>
            </w:pPr>
            <w:r>
              <w:rPr>
                <w:rFonts w:ascii="Arial" w:cs="Arial" w:eastAsia="Arial" w:hAnsi="Arial"/>
                <w:sz w:val="24"/>
                <w:szCs w:val="24"/>
              </w:rPr>
              <w:t xml:space="preserve">  от 40 до 400 - 50 м</w:t>
            </w:r>
            <w:r>
              <w:rPr>
                <w:rFonts w:ascii="Arial" w:cs="Arial" w:eastAsia="Arial" w:hAnsi="Arial"/>
                <w:sz w:val="24"/>
                <w:szCs w:val="24"/>
              </w:rPr>
              <w:t xml:space="preserve">2</w:t>
            </w:r>
            <w:r>
              <w:rPr>
                <w:rFonts w:ascii="Arial" w:cs="Arial" w:eastAsia="Arial" w:hAnsi="Arial"/>
                <w:sz w:val="24"/>
                <w:szCs w:val="24"/>
              </w:rPr>
              <w:t xml:space="preserve"> на 1 учащегося    </w:t>
            </w:r>
          </w:p>
          <w:p>
            <w:pPr>
              <w:jc w:val="both"/>
            </w:pPr>
            <w:r>
              <w:rPr>
                <w:rFonts w:ascii="Arial" w:cs="Arial" w:eastAsia="Arial" w:hAnsi="Arial"/>
                <w:sz w:val="24"/>
                <w:szCs w:val="24"/>
              </w:rPr>
              <w:t xml:space="preserve">    от 400  до 500 – 60 на 1 учащегося </w:t>
            </w:r>
          </w:p>
          <w:p>
            <w:pPr>
              <w:jc w:val="both"/>
            </w:pPr>
            <w:r>
              <w:rPr>
                <w:rFonts w:ascii="Arial" w:cs="Arial" w:eastAsia="Arial" w:hAnsi="Arial"/>
                <w:sz w:val="24"/>
                <w:szCs w:val="24"/>
              </w:rPr>
              <w:t xml:space="preserve">    от 500  до 600 – 50 на 1 учащегося</w:t>
            </w:r>
          </w:p>
          <w:p>
            <w:pPr>
              <w:jc w:val="both"/>
            </w:pPr>
            <w:r>
              <w:rPr>
                <w:rFonts w:ascii="Arial" w:cs="Arial" w:eastAsia="Arial" w:hAnsi="Arial"/>
                <w:sz w:val="24"/>
                <w:szCs w:val="24"/>
              </w:rPr>
              <w:t xml:space="preserve">    от 600  до 800 – 40  на 1 учащегося</w:t>
            </w:r>
          </w:p>
          <w:p>
            <w:pPr>
              <w:jc w:val="both"/>
            </w:pPr>
            <w:r>
              <w:rPr>
                <w:rFonts w:ascii="Arial" w:cs="Arial" w:eastAsia="Arial" w:hAnsi="Arial"/>
                <w:sz w:val="24"/>
                <w:szCs w:val="24"/>
              </w:rPr>
              <w:t xml:space="preserve">    от 800  до 1100 – 33   на 1 учащегося</w:t>
            </w:r>
          </w:p>
          <w:p>
            <w:pPr>
              <w:jc w:val="both"/>
            </w:pPr>
            <w:r>
              <w:rPr>
                <w:rFonts w:ascii="Arial" w:cs="Arial" w:eastAsia="Arial" w:hAnsi="Arial"/>
                <w:sz w:val="24"/>
                <w:szCs w:val="24"/>
              </w:rPr>
              <w:t xml:space="preserve">    от 1100 до 1500 – 21  на 1 учащегося</w:t>
            </w:r>
          </w:p>
          <w:p>
            <w:pPr>
              <w:jc w:val="both"/>
            </w:pPr>
            <w:r>
              <w:rPr>
                <w:rFonts w:ascii="Arial" w:cs="Arial" w:eastAsia="Arial" w:hAnsi="Arial"/>
                <w:sz w:val="24"/>
                <w:szCs w:val="24"/>
              </w:rPr>
              <w:t xml:space="preserve">    от 1500 до 2000 – 17     на 1 учащегося</w:t>
            </w:r>
          </w:p>
          <w:p>
            <w:pPr>
              <w:jc w:val="both"/>
            </w:pPr>
            <w:r>
              <w:rPr>
                <w:rFonts w:ascii="Arial" w:cs="Arial" w:eastAsia="Arial" w:hAnsi="Arial"/>
                <w:sz w:val="24"/>
                <w:szCs w:val="24"/>
              </w:rPr>
              <w:t xml:space="preserve">    от 2000 до         – 16   на 1 учащегося</w:t>
            </w:r>
          </w:p>
        </w:tc>
        <w:tc>
          <w:tcPr>
            <w:tcW w:type="dxa" w:w="29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школ: уменьшаются на 40 % 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на 20 % – в условиях реконструкции; увеличены: на 30 % – в сельских населенных пунктах, если для организации учебно-опытной работы не предусмотрены специальные участки. Спортивная зона школы объединяется с физкультурно-оздоровительным комплексом микрорайона</w:t>
            </w:r>
          </w:p>
        </w:tc>
      </w:tr>
      <w:tr>
        <w:tc>
          <w:tcPr>
            <w:tcW w:type="dxa" w:w="19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Школы-интернаты, учащиеся</w:t>
            </w:r>
          </w:p>
        </w:tc>
        <w:tc>
          <w:tcPr>
            <w:tcW w:type="dxa" w:w="2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tc>
        <w:tc>
          <w:tcPr>
            <w:tcW w:type="dxa" w:w="2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вместимости       общеобразовательной школы-интерната, учащихся:</w:t>
            </w:r>
          </w:p>
          <w:p>
            <w:pPr>
              <w:jc w:val="both"/>
            </w:pPr>
            <w:r>
              <w:rPr>
                <w:rFonts w:ascii="Arial" w:cs="Arial" w:eastAsia="Arial" w:hAnsi="Arial"/>
                <w:sz w:val="24"/>
                <w:szCs w:val="24"/>
              </w:rPr>
              <w:t xml:space="preserve">от 200 до 300 – 70 м</w:t>
            </w:r>
            <w:r>
              <w:rPr>
                <w:rFonts w:ascii="Arial" w:cs="Arial" w:eastAsia="Arial" w:hAnsi="Arial"/>
                <w:sz w:val="24"/>
                <w:szCs w:val="24"/>
              </w:rPr>
              <w:t xml:space="preserve">2</w:t>
            </w:r>
            <w:r>
              <w:rPr>
                <w:rFonts w:ascii="Arial" w:cs="Arial" w:eastAsia="Arial" w:hAnsi="Arial"/>
                <w:sz w:val="24"/>
                <w:szCs w:val="24"/>
              </w:rPr>
              <w:t xml:space="preserve"> на 1 учащегося</w:t>
            </w:r>
          </w:p>
          <w:p>
            <w:pPr>
              <w:jc w:val="both"/>
            </w:pPr>
            <w:r>
              <w:rPr>
                <w:rFonts w:ascii="Arial" w:cs="Arial" w:eastAsia="Arial" w:hAnsi="Arial"/>
                <w:sz w:val="24"/>
                <w:szCs w:val="24"/>
              </w:rPr>
              <w:t xml:space="preserve">от 300   до 500 – 65  м</w:t>
            </w:r>
            <w:r>
              <w:rPr>
                <w:rFonts w:ascii="Arial" w:cs="Arial" w:eastAsia="Arial" w:hAnsi="Arial"/>
                <w:sz w:val="24"/>
                <w:szCs w:val="24"/>
              </w:rPr>
              <w:t xml:space="preserve">2</w:t>
            </w:r>
            <w:r>
              <w:rPr>
                <w:rFonts w:ascii="Arial" w:cs="Arial" w:eastAsia="Arial" w:hAnsi="Arial"/>
                <w:sz w:val="24"/>
                <w:szCs w:val="24"/>
              </w:rPr>
              <w:t xml:space="preserve"> на 1 учащегося</w:t>
            </w:r>
          </w:p>
          <w:p>
            <w:pPr>
              <w:jc w:val="both"/>
            </w:pPr>
            <w:r>
              <w:rPr>
                <w:rFonts w:ascii="Arial" w:cs="Arial" w:eastAsia="Arial" w:hAnsi="Arial"/>
                <w:sz w:val="24"/>
                <w:szCs w:val="24"/>
              </w:rPr>
              <w:t xml:space="preserve">от 500  и  более – 45 м</w:t>
            </w:r>
            <w:r>
              <w:rPr>
                <w:rFonts w:ascii="Arial" w:cs="Arial" w:eastAsia="Arial" w:hAnsi="Arial"/>
                <w:sz w:val="24"/>
                <w:szCs w:val="24"/>
              </w:rPr>
              <w:t xml:space="preserve">2</w:t>
            </w:r>
            <w:r>
              <w:rPr>
                <w:rFonts w:ascii="Arial" w:cs="Arial" w:eastAsia="Arial" w:hAnsi="Arial"/>
                <w:sz w:val="24"/>
                <w:szCs w:val="24"/>
              </w:rPr>
              <w:t xml:space="preserve"> на 1 учащегося</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размещении на земельном участке школы здания интерната (спального корпуса) площадь земельного участка следует увеличивать на 0,2 га</w:t>
            </w:r>
          </w:p>
          <w:p>
            <w:pPr>
              <w:jc w:val="both"/>
            </w:pPr>
            <w:r>
              <w:rPr>
                <w:rFonts w:ascii="Arial" w:cs="Arial" w:eastAsia="Arial" w:hAnsi="Arial"/>
                <w:sz w:val="24"/>
                <w:szCs w:val="24"/>
              </w:rPr>
              <w:t xml:space="preserve"/>
            </w:r>
          </w:p>
        </w:tc>
      </w:tr>
      <w:tr>
        <w:tc>
          <w:tcPr>
            <w:tcW w:type="dxa" w:w="19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Межшкольный учебно-производственный комбинат, место</w:t>
            </w: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2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 общего числа школьников</w:t>
            </w:r>
          </w:p>
        </w:tc>
        <w:tc>
          <w:tcPr>
            <w:tcW w:type="dxa" w:w="2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межшкольных учебно-производственных комбинатов рекомендуется принимать не менее 2 га, при устройстве автополигона или трактородрома – 3 га</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Автотрактородром следует размещать вне селитебной территории</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2766"/>
        <w:gridCol w:w="2965"/>
        <w:gridCol w:w="2568"/>
      </w:tblGrid>
      <w:tr>
        <w:tc>
          <w:tcPr>
            <w:tcW w:type="dxa" w:w="18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c>
          <w:tcPr>
            <w:tcW w:type="dxa" w:w="25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Внешкольные учреждения, место</w:t>
            </w: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общего числа школьников, в том числе по видам зданий: </w:t>
            </w:r>
          </w:p>
          <w:p>
            <w:pPr>
              <w:jc w:val="both"/>
            </w:pPr>
            <w:r>
              <w:rPr>
                <w:rFonts w:ascii="Arial" w:cs="Arial" w:eastAsia="Arial" w:hAnsi="Arial"/>
                <w:sz w:val="24"/>
                <w:szCs w:val="24"/>
              </w:rPr>
              <w:t xml:space="preserve">Дворец (Дом)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–2,7%</w:t>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Средние специальные и профессионально-технические</w:t>
            </w:r>
          </w:p>
          <w:p>
            <w:pPr>
              <w:jc w:val="both"/>
            </w:pPr>
            <w:r>
              <w:rPr>
                <w:rFonts w:ascii="Arial" w:cs="Arial" w:eastAsia="Arial" w:hAnsi="Arial"/>
                <w:sz w:val="24"/>
                <w:szCs w:val="24"/>
              </w:rPr>
              <w:t xml:space="preserve"> учебные заведения, учащиеся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 с учетом населения города-</w:t>
            </w:r>
          </w:p>
          <w:p>
            <w:pPr>
              <w:jc w:val="both"/>
            </w:pPr>
            <w:r>
              <w:rPr>
                <w:rFonts w:ascii="Arial" w:cs="Arial" w:eastAsia="Arial" w:hAnsi="Arial"/>
                <w:sz w:val="24"/>
                <w:szCs w:val="24"/>
              </w:rPr>
              <w:t xml:space="preserve">центра и других населенных пунктов в зоне его влияния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вместимости профессионально-технических училищ и средних специальных учебных заведений, учащихся:</w:t>
            </w:r>
          </w:p>
          <w:p>
            <w:pPr>
              <w:jc w:val="both"/>
            </w:pPr>
            <w:r>
              <w:rPr>
                <w:rFonts w:ascii="Arial" w:cs="Arial" w:eastAsia="Arial" w:hAnsi="Arial"/>
                <w:sz w:val="24"/>
                <w:szCs w:val="24"/>
              </w:rPr>
              <w:t xml:space="preserve">до 300  –  75 м</w:t>
            </w:r>
            <w:r>
              <w:rPr>
                <w:rFonts w:ascii="Arial" w:cs="Arial" w:eastAsia="Arial" w:hAnsi="Arial"/>
                <w:sz w:val="24"/>
                <w:szCs w:val="24"/>
              </w:rPr>
              <w:t xml:space="preserve">2 </w:t>
            </w:r>
            <w:r>
              <w:rPr>
                <w:rFonts w:ascii="Arial" w:cs="Arial" w:eastAsia="Arial" w:hAnsi="Arial"/>
                <w:sz w:val="24"/>
                <w:szCs w:val="24"/>
              </w:rPr>
              <w:t xml:space="preserve">на 1 учащегося</w:t>
            </w:r>
          </w:p>
          <w:p>
            <w:pPr>
              <w:jc w:val="both"/>
            </w:pPr>
            <w:r>
              <w:rPr>
                <w:rFonts w:ascii="Arial" w:cs="Arial" w:eastAsia="Arial" w:hAnsi="Arial"/>
                <w:sz w:val="24"/>
                <w:szCs w:val="24"/>
              </w:rPr>
              <w:t xml:space="preserve">св. 300 до 900 – 50-65 на 1 учащегося</w:t>
            </w:r>
          </w:p>
          <w:p>
            <w:pPr>
              <w:jc w:val="both"/>
            </w:pPr>
            <w:r>
              <w:rPr>
                <w:rFonts w:ascii="Arial" w:cs="Arial" w:eastAsia="Arial" w:hAnsi="Arial"/>
                <w:sz w:val="24"/>
                <w:szCs w:val="24"/>
              </w:rPr>
              <w:t xml:space="preserve">св. 900  до 1600 – 30-40 на 1 учащегося</w:t>
            </w:r>
          </w:p>
          <w:p>
            <w:pPr>
              <w:jc w:val="both"/>
            </w:pPr>
            <w:r>
              <w:rPr>
                <w:rFonts w:ascii="Arial" w:cs="Arial" w:eastAsia="Arial" w:hAnsi="Arial"/>
                <w:sz w:val="24"/>
                <w:szCs w:val="24"/>
              </w:rPr>
              <w:t xml:space="preserve"/>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уменьшаются: на 50% 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и в условиях реконструкции, на 30% – для учебных заведений гуманитарного профиля; увеличены на 50% - для учебных заведений сельскохозяйственного профиля размещаемых в сельских населенных пунктах.</w:t>
            </w:r>
          </w:p>
          <w:p>
            <w:pPr>
              <w:jc w:val="both"/>
            </w:pPr>
            <w:r>
              <w:rPr>
                <w:rFonts w:ascii="Arial" w:cs="Arial" w:eastAsia="Arial" w:hAnsi="Arial"/>
                <w:sz w:val="24"/>
                <w:szCs w:val="24"/>
              </w:rPr>
              <w:t xml:space="preserve">При кооперировании учебных заведений и создании учебных центров размеры земельных участков</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рекомендуется уменьшать   в зависимости от вместимости учебных центров, учащихся:</w:t>
            </w:r>
          </w:p>
          <w:p>
            <w:pPr>
              <w:jc w:val="both"/>
            </w:pPr>
            <w:r>
              <w:rPr>
                <w:rFonts w:ascii="Arial" w:cs="Arial" w:eastAsia="Arial" w:hAnsi="Arial"/>
                <w:sz w:val="24"/>
                <w:szCs w:val="24"/>
              </w:rPr>
              <w:t xml:space="preserve">от 1500   до 2000 – на  10% св. 2000   ‘  3000 – 20 ’</w:t>
            </w:r>
          </w:p>
          <w:p>
            <w:pPr>
              <w:jc w:val="both"/>
            </w:pPr>
            <w:r>
              <w:rPr>
                <w:rFonts w:ascii="Arial" w:cs="Arial" w:eastAsia="Arial" w:hAnsi="Arial"/>
                <w:sz w:val="24"/>
                <w:szCs w:val="24"/>
              </w:rPr>
              <w:t xml:space="preserve"> ‘  3000 ’          – 30’</w:t>
            </w:r>
          </w:p>
          <w:p>
            <w:pPr>
              <w:jc w:val="both"/>
            </w:pPr>
            <w:r>
              <w:rPr>
                <w:rFonts w:ascii="Arial" w:cs="Arial" w:eastAsia="Arial" w:hAnsi="Arial"/>
                <w:sz w:val="24"/>
                <w:szCs w:val="24"/>
              </w:rPr>
              <w:t xml:space="preserve">Размеры жилой зоны, учебных и вспомогательных хозяйств, полигонов и автотрактородромов в указанные размеры не входят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Высшие учебные заведения, студенты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Зоны высших учебных заведений (учебная зона), га на 1 тыс. студентов: университеты, вузы технические – 4-7; сельско-хозяйственные– 5-7; медицинские, фармацевтические–3-5; экономические,     педагогические, культуры, искусства, архитектуры – 2-4; институты повышения квалификации и дистанционного обучения – соответственно их профилю с коэффициентом-0,5; специализированная зона - по заданию на проектирование; спортивная зона–1-2; зона студенческих общежитий -1,5-3. Вузы физической культуры проектируются по заданию на проектирование. </w:t>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земельного участка вуза уменьшается на 40% 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и в условиях реконструкции.</w:t>
            </w:r>
          </w:p>
          <w:p>
            <w:pPr>
              <w:jc w:val="both"/>
            </w:pPr>
            <w:r>
              <w:rPr>
                <w:rFonts w:ascii="Arial" w:cs="Arial" w:eastAsia="Arial" w:hAnsi="Arial"/>
                <w:sz w:val="24"/>
                <w:szCs w:val="24"/>
              </w:rPr>
              <w:t xml:space="preserve">При кооперированном размещении нескольких вузов на одном участке суммарную территорию земельных участков учебных заведений рекомендуется  сокращать  на 20%</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9"/>
        <w:gridCol w:w="2336"/>
        <w:gridCol w:w="3441"/>
        <w:gridCol w:w="2732"/>
      </w:tblGrid>
      <w:tr>
        <w:tc>
          <w:tcPr>
            <w:tcW w:type="dxa" w:w="166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7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Учреждения здравоохранения, социального обеспечения, спортивные и физкультурно-оздоровительные сооружения</w:t>
            </w:r>
          </w:p>
        </w:tc>
      </w:tr>
      <w:tr>
        <w:tc>
          <w:tcPr>
            <w:tcW w:type="dxa" w:w="1669"/>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Дома-интернаты     </w:t>
            </w:r>
          </w:p>
          <w:p>
            <w:pPr>
              <w:jc w:val="both"/>
            </w:pPr>
            <w:r>
              <w:rPr>
                <w:rFonts w:ascii="Arial" w:cs="Arial" w:eastAsia="Arial" w:hAnsi="Arial"/>
                <w:sz w:val="24"/>
                <w:szCs w:val="24"/>
              </w:rPr>
              <w:t xml:space="preserve">Дома-интернаты для престарелых, ветеранов войны и труда, организуемые производственными объединениями (предприятиями), платные пансионаты, место на 1 тыс. чел.(с 60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Дома-интернаты для взрослых           инвалидов с физическими           нарушениями, место на 1 тыс. чел. (с 18 лет)</w:t>
            </w:r>
          </w:p>
          <w:p>
            <w:pPr>
              <w:jc w:val="both"/>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w:t>
            </w:r>
          </w:p>
        </w:tc>
        <w:tc>
          <w:tcPr>
            <w:tcW w:type="dxa" w:w="3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tc>
        <w:tc>
          <w:tcPr>
            <w:tcW w:type="dxa" w:w="2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Нормы   расчета учреждений социального обеспечения следует уточнять в зависимости от социально- демографических особенностей региона</w:t>
            </w:r>
          </w:p>
        </w:tc>
      </w:tr>
      <w:tr>
        <w:tc>
          <w:tcPr>
            <w:tcW w:type="dxa" w:w="16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дома-интернаты, место на 1 тыс. чел. (от 4 до 17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Психоневрологические интернаты, место на 1 тыс. чел. (с 18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Специальные жилые дома и группы квартир для ветеранов войны и труда и одиноких престарелых, чел. на 1 тыс. чел. (с 60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w:t>
            </w:r>
          </w:p>
        </w:tc>
        <w:tc>
          <w:tcPr>
            <w:tcW w:type="dxa" w:w="3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вместимости интернатов, мест: </w:t>
            </w:r>
          </w:p>
          <w:p>
            <w:pPr>
              <w:jc w:val="both"/>
            </w:pPr>
            <w:r>
              <w:rPr>
                <w:rFonts w:ascii="Arial" w:cs="Arial" w:eastAsia="Arial" w:hAnsi="Arial"/>
                <w:sz w:val="24"/>
                <w:szCs w:val="24"/>
              </w:rPr>
              <w:t xml:space="preserve">до 200                   125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св. 200 до 400      100           ‘‘   </w:t>
            </w:r>
          </w:p>
          <w:p>
            <w:pPr>
              <w:jc w:val="both"/>
            </w:pPr>
            <w:r>
              <w:rPr>
                <w:rFonts w:ascii="Arial" w:cs="Arial" w:eastAsia="Arial" w:hAnsi="Arial"/>
                <w:sz w:val="24"/>
                <w:szCs w:val="24"/>
              </w:rPr>
              <w:t xml:space="preserve">‘‘   400  ‘‘  600      80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8"/>
        <w:gridCol w:w="2584"/>
        <w:gridCol w:w="2584"/>
        <w:gridCol w:w="3302"/>
      </w:tblGrid>
      <w:tr>
        <w:tc>
          <w:tcPr>
            <w:tcW w:type="dxa" w:w="170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жилые дома и группы квартир для инвалидов</w:t>
            </w:r>
          </w:p>
          <w:p>
            <w:pPr>
              <w:jc w:val="both"/>
            </w:pPr>
            <w:r>
              <w:rPr>
                <w:rFonts w:ascii="Arial" w:cs="Arial" w:eastAsia="Arial" w:hAnsi="Arial"/>
                <w:sz w:val="24"/>
                <w:szCs w:val="24"/>
              </w:rPr>
              <w:t xml:space="preserve">на креслах-колясках и их семей, чел. на 1 тыс. чел. всего населения</w:t>
            </w:r>
          </w:p>
          <w:p>
            <w:pPr>
              <w:jc w:val="both"/>
            </w:pPr>
            <w:r>
              <w:rPr>
                <w:rFonts w:ascii="Arial" w:cs="Arial" w:eastAsia="Arial" w:hAnsi="Arial"/>
                <w:sz w:val="24"/>
                <w:szCs w:val="24"/>
              </w:rPr>
              <w:t xml:space="preserve"/>
            </w:r>
          </w:p>
          <w:p>
            <w:pPr>
              <w:jc w:val="both"/>
            </w:pPr>
            <w:r>
              <w:rPr>
                <w:rFonts w:ascii="Arial" w:cs="Arial" w:eastAsia="Arial" w:hAnsi="Arial"/>
                <w:i/>
                <w:iCs/>
                <w:sz w:val="24"/>
                <w:szCs w:val="24"/>
              </w:rPr>
              <w:t xml:space="preserve">Учреждения здравоохранения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Стационары всех типов для взрослых с вспомогательными зданиями и сооружениями, койка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Необходимые вместимость и структура лечебно- профилактических учреждений определяются органами здравоохранения и указываются в задании на проектирование</w:t>
            </w:r>
          </w:p>
          <w:p>
            <w:pPr>
              <w:jc w:val="both"/>
            </w:pPr>
            <w:r>
              <w:rPr>
                <w:rFonts w:ascii="Arial" w:cs="Arial" w:eastAsia="Arial" w:hAnsi="Arial"/>
                <w:sz w:val="24"/>
                <w:szCs w:val="24"/>
              </w:rPr>
              <w:t xml:space="preserve"/>
            </w:r>
          </w:p>
        </w:tc>
        <w:tc>
          <w:tcPr>
            <w:tcW w:type="dxa" w:w="25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мощности стационаров, коек:</w:t>
            </w:r>
          </w:p>
          <w:p>
            <w:pPr>
              <w:jc w:val="both"/>
            </w:pPr>
            <w:r>
              <w:rPr>
                <w:rFonts w:ascii="Arial" w:cs="Arial" w:eastAsia="Arial" w:hAnsi="Arial"/>
                <w:sz w:val="24"/>
                <w:szCs w:val="24"/>
              </w:rPr>
              <w:t xml:space="preserve">до 50    – 300 м</w:t>
            </w:r>
            <w:r>
              <w:rPr>
                <w:rFonts w:ascii="Arial" w:cs="Arial" w:eastAsia="Arial" w:hAnsi="Arial"/>
                <w:sz w:val="24"/>
                <w:szCs w:val="24"/>
              </w:rPr>
              <w:t xml:space="preserve">2</w:t>
            </w:r>
            <w:r>
              <w:rPr>
                <w:rFonts w:ascii="Arial" w:cs="Arial" w:eastAsia="Arial" w:hAnsi="Arial"/>
                <w:sz w:val="24"/>
                <w:szCs w:val="24"/>
              </w:rPr>
              <w:t xml:space="preserve"> на 1 койку св. 50 до 100 – 300-200  „</w:t>
            </w:r>
          </w:p>
          <w:p>
            <w:pPr>
              <w:jc w:val="both"/>
            </w:pPr>
            <w:r>
              <w:rPr>
                <w:rFonts w:ascii="Arial" w:cs="Arial" w:eastAsia="Arial" w:hAnsi="Arial"/>
                <w:sz w:val="24"/>
                <w:szCs w:val="24"/>
              </w:rPr>
              <w:t xml:space="preserve">„ 100  „  200 – 200-140  „</w:t>
            </w:r>
          </w:p>
          <w:p>
            <w:pPr>
              <w:jc w:val="both"/>
            </w:pPr>
            <w:r>
              <w:rPr>
                <w:rFonts w:ascii="Arial" w:cs="Arial" w:eastAsia="Arial" w:hAnsi="Arial"/>
                <w:sz w:val="24"/>
                <w:szCs w:val="24"/>
              </w:rPr>
              <w:t xml:space="preserve">„ 200  „  400 – 140-100  „</w:t>
            </w:r>
          </w:p>
          <w:p>
            <w:pPr>
              <w:jc w:val="both"/>
            </w:pPr>
            <w:r>
              <w:rPr>
                <w:rFonts w:ascii="Arial" w:cs="Arial" w:eastAsia="Arial" w:hAnsi="Arial"/>
                <w:sz w:val="24"/>
                <w:szCs w:val="24"/>
              </w:rPr>
              <w:t xml:space="preserve">„ 400  „  800 – 100-80   „</w:t>
            </w:r>
          </w:p>
          <w:p>
            <w:pPr>
              <w:jc w:val="both"/>
            </w:pPr>
            <w:r>
              <w:rPr>
                <w:rFonts w:ascii="Arial" w:cs="Arial" w:eastAsia="Arial" w:hAnsi="Arial"/>
                <w:sz w:val="24"/>
                <w:szCs w:val="24"/>
              </w:rPr>
              <w:t xml:space="preserve">„ 800  „ 1000 – 80-60     „ </w:t>
            </w:r>
          </w:p>
          <w:p>
            <w:pPr>
              <w:jc w:val="both"/>
            </w:pPr>
            <w:r>
              <w:rPr>
                <w:rFonts w:ascii="Arial" w:cs="Arial" w:eastAsia="Arial" w:hAnsi="Arial"/>
                <w:sz w:val="24"/>
                <w:szCs w:val="24"/>
              </w:rPr>
              <w:t xml:space="preserve">„ 1000        – 60        „</w:t>
            </w:r>
          </w:p>
        </w:tc>
        <w:tc>
          <w:tcPr>
            <w:tcW w:type="dxa" w:w="3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 одну койку для детей следует принимать норму всего стационара с коэффициентом 1,5.</w:t>
            </w:r>
          </w:p>
          <w:p>
            <w:pPr>
              <w:jc w:val="both"/>
            </w:pPr>
            <w:r>
              <w:rPr>
                <w:rFonts w:ascii="Arial" w:cs="Arial" w:eastAsia="Arial" w:hAnsi="Arial"/>
                <w:sz w:val="24"/>
                <w:szCs w:val="24"/>
              </w:rPr>
              <w:t xml:space="preserve">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pPr>
              <w:jc w:val="both"/>
            </w:pPr>
            <w:r>
              <w:rPr>
                <w:rFonts w:ascii="Arial" w:cs="Arial" w:eastAsia="Arial" w:hAnsi="Arial"/>
                <w:sz w:val="24"/>
                <w:szCs w:val="24"/>
              </w:rPr>
              <w:t xml:space="preserve">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а также в условиях реконструкции и в крупных и крупнейших городах земельные участки больниц допуска-ется уменьшать на 25 %. Размеры земельных участков больниц, размещаемых в пригородной зоне, следует увеличивать: инфекционных и онкологических – на 15%, туберкулезных и психиатрических – на 25%, восстановительного лечения для взрослых - на 20 %, для детей – на 40 %.  Площадь земельного участка родильных домов следует принимать по нормативам стационаров с коэффициентом 0,7</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3"/>
        <w:gridCol w:w="2889"/>
        <w:gridCol w:w="2586"/>
        <w:gridCol w:w="2680"/>
      </w:tblGrid>
      <w:tr>
        <w:tc>
          <w:tcPr>
            <w:tcW w:type="dxa" w:w="202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8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6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0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Поликлиники, амбулатории, диспансеры без стационара, посещение в смену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Станции (подстанции) скорой медицинской помощи, автомобиль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Выдвижные пункты скорой медицинской помощи, автомобиль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Фельдшерские или фельдшерско- акушерские пункты, объект</w:t>
            </w:r>
          </w:p>
          <w:p>
            <w:pPr>
              <w:jc w:val="both"/>
            </w:pPr>
            <w:r>
              <w:rPr>
                <w:rFonts w:ascii="Arial" w:cs="Arial" w:eastAsia="Arial" w:hAnsi="Arial"/>
                <w:sz w:val="24"/>
                <w:szCs w:val="24"/>
              </w:rPr>
              <w:t xml:space="preserve">Аптеки групп;</w:t>
            </w:r>
          </w:p>
          <w:p>
            <w:pPr>
              <w:jc w:val="both"/>
            </w:pP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II</w:t>
            </w:r>
          </w:p>
          <w:p>
            <w:pPr>
              <w:jc w:val="both"/>
            </w:pPr>
            <w:r>
              <w:rPr>
                <w:rFonts w:ascii="Arial" w:cs="Arial" w:eastAsia="Arial" w:hAnsi="Arial"/>
                <w:sz w:val="24"/>
                <w:szCs w:val="24"/>
              </w:rPr>
              <w:t xml:space="preserve">Ш-</w:t>
            </w:r>
            <w:r>
              <w:rPr>
                <w:rFonts w:ascii="Arial" w:cs="Arial" w:eastAsia="Arial" w:hAnsi="Arial"/>
                <w:sz w:val="24"/>
                <w:szCs w:val="24"/>
              </w:rPr>
              <w:t xml:space="preserve">V</w:t>
            </w:r>
          </w:p>
          <w:p>
            <w:pPr>
              <w:jc w:val="both"/>
            </w:pPr>
            <w:r>
              <w:rPr>
                <w:rFonts w:ascii="Arial" w:cs="Arial" w:eastAsia="Arial" w:hAnsi="Arial"/>
                <w:sz w:val="24"/>
                <w:szCs w:val="24"/>
              </w:rPr>
              <w:t xml:space="preserve">VI</w:t>
            </w:r>
            <w:r>
              <w:rPr>
                <w:rFonts w:ascii="Arial" w:cs="Arial" w:eastAsia="Arial" w:hAnsi="Arial"/>
                <w:sz w:val="24"/>
                <w:szCs w:val="24"/>
              </w:rPr>
              <w:t xml:space="preserve">-</w:t>
            </w:r>
            <w:r>
              <w:rPr>
                <w:rFonts w:ascii="Arial" w:cs="Arial" w:eastAsia="Arial" w:hAnsi="Arial"/>
                <w:sz w:val="24"/>
                <w:szCs w:val="24"/>
              </w:rPr>
              <w:t xml:space="preserve">VIII</w:t>
            </w:r>
          </w:p>
          <w:p>
            <w:pPr>
              <w:jc w:val="both"/>
            </w:pPr>
            <w:r>
              <w:rPr>
                <w:rFonts w:ascii="Arial" w:cs="Arial" w:eastAsia="Arial" w:hAnsi="Arial"/>
                <w:sz w:val="24"/>
                <w:szCs w:val="24"/>
              </w:rPr>
              <w:t xml:space="preserve">Молочные кухни, порция в сутки на 1 ребенка (до 1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Раздаточные   пункты молочных кухонь, м</w:t>
            </w:r>
            <w:r>
              <w:rPr>
                <w:rFonts w:ascii="Arial" w:cs="Arial" w:eastAsia="Arial" w:hAnsi="Arial"/>
                <w:sz w:val="24"/>
                <w:szCs w:val="24"/>
              </w:rPr>
              <w:t xml:space="preserve">2</w:t>
            </w:r>
            <w:r>
              <w:rPr>
                <w:rFonts w:ascii="Arial" w:cs="Arial" w:eastAsia="Arial" w:hAnsi="Arial"/>
                <w:sz w:val="24"/>
                <w:szCs w:val="24"/>
              </w:rPr>
              <w:t xml:space="preserve"> общей площади на 1 ребенка (до 1 года)</w:t>
            </w:r>
          </w:p>
        </w:tc>
        <w:tc>
          <w:tcPr>
            <w:tcW w:type="dxa" w:w="2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10 тыс. чел. в пределах зоны 15-минутной доступности на специальном автомобиле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5 тыс. чел. сельского населения в пределах зоны 30-минутной доступности на специальном автомобиле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 га на 100 посещений в смену, но не менее 0,3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0,05 га на 1 автомобиль, но не менее 0,1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0,05 га на 1 автомобиль, но не менее 0,1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0,2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0,3 га или встроенные</w:t>
            </w:r>
          </w:p>
          <w:p>
            <w:pPr>
              <w:jc w:val="both"/>
            </w:pPr>
            <w:r>
              <w:rPr>
                <w:rFonts w:ascii="Arial" w:cs="Arial" w:eastAsia="Arial" w:hAnsi="Arial"/>
                <w:sz w:val="24"/>
                <w:szCs w:val="24"/>
              </w:rPr>
              <w:t xml:space="preserve">    0,25 „      „</w:t>
            </w:r>
          </w:p>
          <w:p>
            <w:pPr>
              <w:jc w:val="both"/>
            </w:pPr>
            <w:r>
              <w:rPr>
                <w:rFonts w:ascii="Arial" w:cs="Arial" w:eastAsia="Arial" w:hAnsi="Arial"/>
                <w:sz w:val="24"/>
                <w:szCs w:val="24"/>
              </w:rPr>
              <w:t xml:space="preserve">    0,2  „      „</w:t>
            </w:r>
          </w:p>
          <w:p>
            <w:pPr>
              <w:jc w:val="both"/>
            </w:pPr>
            <w:r>
              <w:rPr>
                <w:rFonts w:ascii="Arial" w:cs="Arial" w:eastAsia="Arial" w:hAnsi="Arial"/>
                <w:sz w:val="24"/>
                <w:szCs w:val="24"/>
              </w:rPr>
              <w:t xml:space="preserve">0,015 га на 1 тыс. порций в сутки, но не менее 0,15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встроенные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стационара и поликлиники (диспансера), объединенных в одно лечебно- профилактическое учреждение, определяются раздельно по соответствующим нормам   и затем суммируются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3"/>
        <w:gridCol w:w="2513"/>
        <w:gridCol w:w="2555"/>
        <w:gridCol w:w="2836"/>
      </w:tblGrid>
      <w:tr>
        <w:tc>
          <w:tcPr>
            <w:tcW w:type="dxa" w:w="22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санаторно- курортные и </w:t>
            </w:r>
            <w:r>
              <w:rPr>
                <w:rFonts w:ascii="Arial" w:cs="Arial" w:eastAsia="Arial" w:hAnsi="Arial"/>
                <w:sz w:val="24"/>
                <w:szCs w:val="24"/>
              </w:rPr>
              <w:t xml:space="preserve">оздоровительные, отдыха и туризма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Санатории  (без  туберкулезных),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Санатории     для     родителей     с детьми и детские санатории (без туберкулезных),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Санатории-профилактории,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Санаторные детские лагеря,  место</w:t>
            </w:r>
          </w:p>
          <w:p>
            <w:pPr>
              <w:jc w:val="both"/>
            </w:pPr>
            <w:r>
              <w:rPr>
                <w:rFonts w:ascii="Arial" w:cs="Arial" w:eastAsia="Arial" w:hAnsi="Arial"/>
                <w:sz w:val="24"/>
                <w:szCs w:val="24"/>
              </w:rPr>
              <w:t xml:space="preserve">Дома отдыха (пансионаты),</w:t>
            </w:r>
          </w:p>
          <w:p>
            <w:pPr>
              <w:jc w:val="both"/>
            </w:pPr>
            <w:r>
              <w:rPr>
                <w:rFonts w:ascii="Arial" w:cs="Arial" w:eastAsia="Arial" w:hAnsi="Arial"/>
                <w:sz w:val="24"/>
                <w:szCs w:val="24"/>
              </w:rPr>
              <w:t xml:space="preserve">место</w:t>
            </w:r>
          </w:p>
        </w:tc>
        <w:tc>
          <w:tcPr>
            <w:tcW w:type="dxa" w:w="2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По заданию на проектирование</w:t>
            </w:r>
          </w:p>
        </w:tc>
        <w:tc>
          <w:tcPr>
            <w:tcW w:type="dxa" w:w="25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125-150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145-170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70-100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120-130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8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Конкретные значения нормативов земельных участков в указанных пределах принимаются по местным условиям. Размеры земельных участков даны без учета площади хозяйственных зон, принимаемых согласно         п.3.15 настоящего свода правил.</w:t>
            </w:r>
          </w:p>
          <w:p>
            <w:pPr>
              <w:jc w:val="both"/>
            </w:pPr>
            <w:r>
              <w:rPr>
                <w:rFonts w:ascii="Arial" w:cs="Arial" w:eastAsia="Arial" w:hAnsi="Arial"/>
                <w:sz w:val="24"/>
                <w:szCs w:val="24"/>
              </w:rPr>
              <w:t xml:space="preserve">В сложившихся курортных районах и в условиях реконструкции курортов,    а также для баз отдыха в пригородных зонах крупнейших и крупных городов размеры земельных участков допускается уменьшать, но не более чем на 25 %.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санаториях-профилак- ториях, размещаемых в пределах городской черты, допускается уменьшать размеры земельных участков, но не более чем на 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2"/>
        <w:gridCol w:w="1240"/>
        <w:gridCol w:w="1240"/>
        <w:gridCol w:w="2938"/>
        <w:gridCol w:w="1354"/>
        <w:gridCol w:w="1354"/>
      </w:tblGrid>
      <w:tr>
        <w:tc>
          <w:tcPr>
            <w:tcW w:type="dxa" w:w="20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70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Дома отдыха (пансионаты) для семей с детьми,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Базы отдыха предприятий и организаций, молодежные лагеря,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Курортные гостиницы,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Детские лагеря, место</w:t>
            </w:r>
          </w:p>
          <w:p>
            <w:pPr>
              <w:jc w:val="both"/>
            </w:pPr>
            <w:r>
              <w:rPr>
                <w:rFonts w:ascii="Arial" w:cs="Arial" w:eastAsia="Arial" w:hAnsi="Arial"/>
                <w:sz w:val="24"/>
                <w:szCs w:val="24"/>
              </w:rPr>
              <w:t xml:space="preserve">Оздоровительные лагеря старшеклассников,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Дачи дошкольных учреждений,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Туристские гостиницы,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Туристские базы,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Туристские базы для семей с детьми,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Мотели, место</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tc>
        <w:tc>
          <w:tcPr>
            <w:tcW w:type="dxa" w:w="2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 – 150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140–160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 – 75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150 – 200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175 – 200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 – 140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  – 75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  – 80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95 – 120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75  – 100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7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Для туристских гостиниц, размещаемых в крупнейших и крупных городах. общественных центрах, размеры земельных участков допускается принимать по нормам, установленным для коммунальных гостиниц</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205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Кемпинги, место</w:t>
            </w:r>
          </w:p>
        </w:tc>
        <w:tc>
          <w:tcPr>
            <w:tcW w:type="dxa" w:w="12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178"/>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135-150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13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В климатическом подрайоне </w:t>
            </w:r>
            <w:r>
              <w:rPr>
                <w:rFonts w:ascii="Arial" w:cs="Arial" w:eastAsia="Arial" w:hAnsi="Arial"/>
                <w:sz w:val="24"/>
                <w:szCs w:val="24"/>
              </w:rPr>
              <w:t xml:space="preserve">IA</w:t>
            </w:r>
            <w:r>
              <w:rPr>
                <w:rFonts w:ascii="Arial" w:cs="Arial" w:eastAsia="Arial" w:hAnsi="Arial"/>
                <w:sz w:val="24"/>
                <w:szCs w:val="24"/>
              </w:rPr>
              <w:t xml:space="preserve">, указанные размеры земельных участков комплексов физкультурно-спортивных сооружений допускается уменьшать до 50 %</w:t>
            </w:r>
            <w:r>
              <w:rPr>
                <w:rFonts w:ascii="Arial" w:cs="Arial" w:eastAsia="Arial" w:hAnsi="Arial"/>
                <w:b/>
                <w:bCs/>
                <w:sz w:val="24"/>
                <w:szCs w:val="24"/>
              </w:rPr>
              <w:t xml:space="preserve">.</w:t>
            </w:r>
          </w:p>
          <w:p>
            <w:pPr>
              <w:jc w:val="both"/>
            </w:pPr>
            <w:r>
              <w:rPr>
                <w:rFonts w:ascii="Arial" w:cs="Arial" w:eastAsia="Arial" w:hAnsi="Arial"/>
                <w:sz w:val="24"/>
                <w:szCs w:val="24"/>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pPr>
              <w:jc w:val="both"/>
            </w:pPr>
            <w:r>
              <w:rPr>
                <w:rFonts w:ascii="Arial" w:cs="Arial" w:eastAsia="Arial" w:hAnsi="Arial"/>
                <w:sz w:val="24"/>
                <w:szCs w:val="24"/>
              </w:rPr>
              <w:t xml:space="preserve">Комплексы физкультурно-оздоровительных площадок предусматриваются в каждом поселении.</w:t>
            </w:r>
          </w:p>
        </w:tc>
        <w:tc>
          <w:tcPr>
            <w:tcW w:type="dxa" w:w="13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Приюты, место</w:t>
            </w:r>
          </w:p>
          <w:p>
            <w:pPr>
              <w:jc w:val="both"/>
            </w:pPr>
            <w:r>
              <w:rPr>
                <w:rFonts w:ascii="Arial" w:cs="Arial" w:eastAsia="Arial" w:hAnsi="Arial"/>
                <w:sz w:val="24"/>
                <w:szCs w:val="24"/>
              </w:rPr>
              <w:t xml:space="preserve"/>
            </w:r>
          </w:p>
          <w:p>
            <w:pPr>
              <w:jc w:val="both"/>
            </w:pPr>
            <w:r>
              <w:rPr>
                <w:rFonts w:ascii="Arial" w:cs="Arial" w:eastAsia="Arial" w:hAnsi="Arial"/>
                <w:i/>
                <w:iCs/>
                <w:sz w:val="24"/>
                <w:szCs w:val="24"/>
              </w:rPr>
              <w:t xml:space="preserve">Физкулътурно-спортивные сооружения</w:t>
            </w:r>
          </w:p>
          <w:p>
            <w:pPr>
              <w:jc w:val="both"/>
            </w:pPr>
            <w:r>
              <w:rPr>
                <w:rFonts w:ascii="Arial" w:cs="Arial" w:eastAsia="Arial" w:hAnsi="Arial"/>
                <w:sz w:val="24"/>
                <w:szCs w:val="24"/>
              </w:rPr>
              <w:t xml:space="preserve">Территория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Помещения для физкультурно- оздоровительных занятий в микрорайоне, м</w:t>
            </w:r>
            <w:r>
              <w:rPr>
                <w:rFonts w:ascii="Arial" w:cs="Arial" w:eastAsia="Arial" w:hAnsi="Arial"/>
                <w:sz w:val="24"/>
                <w:szCs w:val="24"/>
              </w:rPr>
              <w:t xml:space="preserve">2</w:t>
            </w:r>
            <w:r>
              <w:rPr>
                <w:rFonts w:ascii="Arial" w:cs="Arial" w:eastAsia="Arial" w:hAnsi="Arial"/>
                <w:sz w:val="24"/>
                <w:szCs w:val="24"/>
              </w:rPr>
              <w:t xml:space="preserve"> общей площади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Спортивные залы общего пользования, м</w:t>
            </w:r>
            <w:r>
              <w:rPr>
                <w:rFonts w:ascii="Arial" w:cs="Arial" w:eastAsia="Arial" w:hAnsi="Arial"/>
                <w:sz w:val="24"/>
                <w:szCs w:val="24"/>
              </w:rPr>
              <w:t xml:space="preserve">2</w:t>
            </w:r>
            <w:r>
              <w:rPr>
                <w:rFonts w:ascii="Arial" w:cs="Arial" w:eastAsia="Arial" w:hAnsi="Arial"/>
                <w:sz w:val="24"/>
                <w:szCs w:val="24"/>
              </w:rPr>
              <w:t xml:space="preserve"> площади пола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Бассейны крытые и открытые общего пользования, м</w:t>
            </w:r>
            <w:r>
              <w:rPr>
                <w:rFonts w:ascii="Arial" w:cs="Arial" w:eastAsia="Arial" w:hAnsi="Arial"/>
                <w:sz w:val="24"/>
                <w:szCs w:val="24"/>
              </w:rPr>
              <w:t xml:space="preserve">2</w:t>
            </w:r>
            <w:r>
              <w:rPr>
                <w:rFonts w:ascii="Arial" w:cs="Arial" w:eastAsia="Arial" w:hAnsi="Arial"/>
                <w:sz w:val="24"/>
                <w:szCs w:val="24"/>
              </w:rPr>
              <w:t xml:space="preserve"> зеркала воды на 1 тыс. чел.</w:t>
            </w:r>
          </w:p>
        </w:tc>
        <w:tc>
          <w:tcPr>
            <w:vMerge w:val="continue"/>
            <w:tcBorders>
              <w:top w:val="none" w:color="auto" w:sz="0"/>
              <w:left w:val="none" w:color="auto" w:sz="0"/>
              <w:bottom w:val="single" w:color="CBBF9E" w:sz="4"/>
              <w:right w:val="single" w:color="CBBF9E" w:sz="4"/>
            </w:tcBorders>
          </w:tcPr>
          <w:p/>
        </w:tc>
        <w:tc>
          <w:tcPr>
            <w:tcW w:type="dxa" w:w="4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35-50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0,7-0,9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3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5"/>
        <w:gridCol w:w="2179"/>
        <w:gridCol w:w="3284"/>
        <w:gridCol w:w="2621"/>
      </w:tblGrid>
      <w:tr>
        <w:tc>
          <w:tcPr>
            <w:tcW w:type="dxa" w:w="20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Спортивные залы и крытые бассейны для климатических подрайонов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м</w:t>
            </w:r>
            <w:r>
              <w:rPr>
                <w:rFonts w:ascii="Arial" w:cs="Arial" w:eastAsia="Arial" w:hAnsi="Arial"/>
                <w:sz w:val="24"/>
                <w:szCs w:val="24"/>
              </w:rPr>
              <w:t xml:space="preserve">2</w:t>
            </w:r>
            <w:r>
              <w:rPr>
                <w:rFonts w:ascii="Arial" w:cs="Arial" w:eastAsia="Arial" w:hAnsi="Arial"/>
                <w:sz w:val="24"/>
                <w:szCs w:val="24"/>
              </w:rPr>
              <w:t xml:space="preserve"> площади пола, зеркала воды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м</w:t>
            </w: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2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6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Доступность физкультурно- спортивных сооружений городского значения не должна превышать 30 мин. </w:t>
            </w:r>
          </w:p>
          <w:p>
            <w:pPr>
              <w:jc w:val="both"/>
            </w:pPr>
            <w:r>
              <w:rPr>
                <w:rFonts w:ascii="Arial" w:cs="Arial" w:eastAsia="Arial" w:hAnsi="Arial"/>
                <w:sz w:val="24"/>
                <w:szCs w:val="24"/>
              </w:rPr>
              <w:t xml:space="preserve">Долю физкультурно-спортивных          сооружений, размещаемых в жилом районе, следует принимать от общей нормы, %: </w:t>
            </w:r>
          </w:p>
          <w:p>
            <w:pPr>
              <w:jc w:val="both"/>
            </w:pPr>
            <w:r>
              <w:rPr>
                <w:rFonts w:ascii="Arial" w:cs="Arial" w:eastAsia="Arial" w:hAnsi="Arial"/>
                <w:sz w:val="24"/>
                <w:szCs w:val="24"/>
              </w:rPr>
              <w:t xml:space="preserve">территории - 35, спортивные залы - 50, бассейны - 45 </w:t>
            </w:r>
          </w:p>
          <w:p>
            <w:pPr>
              <w:jc w:val="both"/>
            </w:pPr>
            <w:r>
              <w:rPr>
                <w:rFonts w:ascii="Arial" w:cs="Arial" w:eastAsia="Arial" w:hAnsi="Arial"/>
                <w:sz w:val="24"/>
                <w:szCs w:val="24"/>
              </w:rPr>
              <w:t xml:space="preserve">В поселениях с числом жителей от 2 до 5 тыс. следует предусматривать один спортивный         зал площадью 540 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6"/>
        <w:gridCol w:w="1395"/>
        <w:gridCol w:w="1395"/>
        <w:gridCol w:w="2684"/>
        <w:gridCol w:w="2389"/>
      </w:tblGrid>
      <w:tr>
        <w:tc>
          <w:tcPr>
            <w:tcW w:type="dxa" w:w="231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c>
          <w:tcPr>
            <w:tcW w:type="dxa" w:w="26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c>
          <w:tcPr>
            <w:tcW w:type="dxa" w:w="23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31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населенных пунктов, тыс, чел.:</w:t>
            </w:r>
          </w:p>
          <w:p>
            <w:pPr>
              <w:jc w:val="both"/>
            </w:pPr>
            <w:r>
              <w:rPr>
                <w:rFonts w:ascii="Arial" w:cs="Arial" w:eastAsia="Arial" w:hAnsi="Arial"/>
                <w:sz w:val="24"/>
                <w:szCs w:val="24"/>
              </w:rPr>
              <w:t xml:space="preserve">св. 100</w:t>
            </w:r>
          </w:p>
          <w:p>
            <w:pPr>
              <w:jc w:val="both"/>
            </w:pPr>
            <w:r>
              <w:rPr>
                <w:rFonts w:ascii="Arial" w:cs="Arial" w:eastAsia="Arial" w:hAnsi="Arial"/>
                <w:sz w:val="24"/>
                <w:szCs w:val="24"/>
              </w:rPr>
              <w:t xml:space="preserve">          от 50 до 100 </w:t>
            </w:r>
          </w:p>
          <w:p>
            <w:pPr>
              <w:jc w:val="both"/>
            </w:pPr>
            <w:r>
              <w:rPr>
                <w:rFonts w:ascii="Arial" w:cs="Arial" w:eastAsia="Arial" w:hAnsi="Arial"/>
                <w:sz w:val="24"/>
                <w:szCs w:val="24"/>
              </w:rPr>
              <w:t xml:space="preserve">от 25 до 50 </w:t>
            </w:r>
          </w:p>
          <w:p>
            <w:pPr>
              <w:jc w:val="both"/>
            </w:pPr>
            <w:r>
              <w:rPr>
                <w:rFonts w:ascii="Arial" w:cs="Arial" w:eastAsia="Arial" w:hAnsi="Arial"/>
                <w:sz w:val="24"/>
                <w:szCs w:val="24"/>
              </w:rPr>
              <w:t xml:space="preserve">от  12 до 25</w:t>
            </w:r>
          </w:p>
          <w:p>
            <w:pPr>
              <w:jc w:val="both"/>
            </w:pPr>
            <w:r>
              <w:rPr>
                <w:rFonts w:ascii="Arial" w:cs="Arial" w:eastAsia="Arial" w:hAnsi="Arial"/>
                <w:sz w:val="24"/>
                <w:szCs w:val="24"/>
              </w:rPr>
              <w:t xml:space="preserve">от   5  до 12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3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Спортивный зал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w:t>
            </w:r>
          </w:p>
          <w:p>
            <w:pPr>
              <w:jc w:val="both"/>
            </w:pPr>
            <w:r>
              <w:rPr>
                <w:rFonts w:ascii="Arial" w:cs="Arial" w:eastAsia="Arial" w:hAnsi="Arial"/>
                <w:sz w:val="24"/>
                <w:szCs w:val="24"/>
              </w:rPr>
              <w:t xml:space="preserve">130</w:t>
            </w:r>
          </w:p>
          <w:p>
            <w:pPr>
              <w:jc w:val="both"/>
            </w:pPr>
            <w:r>
              <w:rPr>
                <w:rFonts w:ascii="Arial" w:cs="Arial" w:eastAsia="Arial" w:hAnsi="Arial"/>
                <w:sz w:val="24"/>
                <w:szCs w:val="24"/>
              </w:rPr>
              <w:t xml:space="preserve">150</w:t>
            </w:r>
          </w:p>
          <w:p>
            <w:pPr>
              <w:jc w:val="both"/>
            </w:pPr>
            <w:r>
              <w:rPr>
                <w:rFonts w:ascii="Arial" w:cs="Arial" w:eastAsia="Arial" w:hAnsi="Arial"/>
                <w:sz w:val="24"/>
                <w:szCs w:val="24"/>
              </w:rPr>
              <w:t xml:space="preserve">175</w:t>
            </w:r>
          </w:p>
          <w:p>
            <w:pPr>
              <w:jc w:val="both"/>
            </w:pPr>
            <w:r>
              <w:rPr>
                <w:rFonts w:ascii="Arial" w:cs="Arial" w:eastAsia="Arial" w:hAnsi="Arial"/>
                <w:sz w:val="24"/>
                <w:szCs w:val="24"/>
              </w:rPr>
              <w:t xml:space="preserve">200</w:t>
            </w:r>
          </w:p>
        </w:tc>
        <w:tc>
          <w:tcPr>
            <w:tcW w:type="dxa" w:w="13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Бассейн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55</w:t>
            </w:r>
          </w:p>
          <w:p>
            <w:pPr>
              <w:jc w:val="both"/>
            </w:pPr>
            <w:r>
              <w:rPr>
                <w:rFonts w:ascii="Arial" w:cs="Arial" w:eastAsia="Arial" w:hAnsi="Arial"/>
                <w:sz w:val="24"/>
                <w:szCs w:val="24"/>
              </w:rPr>
              <w:t xml:space="preserve">65</w:t>
            </w:r>
          </w:p>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100</w:t>
            </w:r>
          </w:p>
        </w:tc>
        <w:tc>
          <w:tcPr>
            <w:tcW w:type="dxa" w:w="26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культуры и искусства</w:t>
            </w:r>
          </w:p>
        </w:tc>
      </w:tr>
      <w:tr>
        <w:tc>
          <w:tcPr>
            <w:tcW w:type="dxa" w:w="23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Помещения для культурно-массовой и воспитательной работы с населением, досуга и любительской деятельности,   м</w:t>
            </w:r>
            <w:r>
              <w:rPr>
                <w:rFonts w:ascii="Arial" w:cs="Arial" w:eastAsia="Arial" w:hAnsi="Arial"/>
                <w:sz w:val="24"/>
                <w:szCs w:val="24"/>
              </w:rPr>
              <w:t xml:space="preserve">2 </w:t>
            </w:r>
            <w:r>
              <w:rPr>
                <w:rFonts w:ascii="Arial" w:cs="Arial" w:eastAsia="Arial" w:hAnsi="Arial"/>
                <w:sz w:val="24"/>
                <w:szCs w:val="24"/>
              </w:rPr>
              <w:t xml:space="preserve">площади пола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Танцевальные залы,  место  на  1 тыс. чел.</w:t>
            </w:r>
          </w:p>
        </w:tc>
        <w:tc>
          <w:tcPr>
            <w:tcW w:type="dxa" w:w="27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tc>
        <w:tc>
          <w:tcPr>
            <w:tcW w:type="dxa" w:w="2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tc>
        <w:tc>
          <w:tcPr>
            <w:tcW w:type="dxa" w:w="2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Рекомендуется формировать единые комплексы для организации культурно-массовой, физкультурно- оздоровительной и воспитательной работы для использования учащимися и населением (с соответствующим суммированием нормативов) с пределах пешеходной доступности не более 500 м </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3"/>
        <w:gridCol w:w="2505"/>
        <w:gridCol w:w="3126"/>
        <w:gridCol w:w="2484"/>
      </w:tblGrid>
      <w:tr>
        <w:tc>
          <w:tcPr>
            <w:tcW w:type="dxa" w:w="206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0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Клубы, посетительское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Кинотеатры,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Театры,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Концертные залы,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Цирки,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Лектории,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Залы аттракционов и игровых автоматов, м</w:t>
            </w:r>
            <w:r>
              <w:rPr>
                <w:rFonts w:ascii="Arial" w:cs="Arial" w:eastAsia="Arial" w:hAnsi="Arial"/>
                <w:sz w:val="24"/>
                <w:szCs w:val="24"/>
              </w:rPr>
              <w:t xml:space="preserve">2</w:t>
            </w:r>
            <w:r>
              <w:rPr>
                <w:rFonts w:ascii="Arial" w:cs="Arial" w:eastAsia="Arial" w:hAnsi="Arial"/>
                <w:sz w:val="24"/>
                <w:szCs w:val="24"/>
              </w:rPr>
              <w:t xml:space="preserve"> площади пола на 1 тыс. чел.</w:t>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25-35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3,5-5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w:t>
            </w:r>
          </w:p>
        </w:tc>
        <w:tc>
          <w:tcPr>
            <w:tcW w:type="dxa" w:w="3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25-35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w:t>
            </w:r>
          </w:p>
        </w:tc>
        <w:tc>
          <w:tcPr>
            <w:tcW w:type="dxa" w:w="2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Удельный вес танцевальных залов, кинотеатров и клубов районного значения рекомендуется в размере 40-50 %. 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 Цирки, концертные залы, театры и планетарии предусматривать, в городах с населением 250 тыс. чел. и более, а кинотеатры - в населенных пунктах с числом жителей не менее 10 тыс. чел. Универсальные спортивно-зрелищные залы с искусственным льдом предусматривать, в городах-центрах систем расселения с числом жителей свыше 100 тыс. чел.</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7"/>
        <w:gridCol w:w="1187"/>
        <w:gridCol w:w="1234"/>
        <w:gridCol w:w="1234"/>
        <w:gridCol w:w="2866"/>
        <w:gridCol w:w="2469"/>
      </w:tblGrid>
      <w:tr>
        <w:tc>
          <w:tcPr>
            <w:tcW w:type="dxa" w:w="237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Универсальные спортивно - зрелищные залы, в том числе с искусственным льдом,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Городские массовые библиотеки на 1 тыс. чел. зоны обслуживания при населении города, тыс. чел</w:t>
            </w:r>
            <w:r>
              <w:rPr>
                <w:rFonts w:ascii="Arial" w:cs="Arial" w:eastAsia="Arial" w:hAnsi="Arial"/>
                <w:sz w:val="24"/>
                <w:szCs w:val="24"/>
              </w:rPr>
              <w:t xml:space="preserve">***)</w:t>
            </w:r>
            <w:r>
              <w:rPr>
                <w:rFonts w:ascii="Arial" w:cs="Arial" w:eastAsia="Arial" w:hAnsi="Arial"/>
                <w:sz w:val="24"/>
                <w:szCs w:val="24"/>
              </w:rPr>
              <w:t xml:space="preserve">: </w:t>
            </w:r>
          </w:p>
          <w:p>
            <w:pPr>
              <w:jc w:val="both"/>
            </w:pPr>
            <w:r>
              <w:rPr>
                <w:rFonts w:ascii="Arial" w:cs="Arial" w:eastAsia="Arial" w:hAnsi="Arial"/>
                <w:sz w:val="24"/>
                <w:szCs w:val="24"/>
              </w:rPr>
              <w:t xml:space="preserve">   св. 50</w:t>
            </w:r>
          </w:p>
          <w:p>
            <w:pPr>
              <w:jc w:val="both"/>
            </w:pPr>
            <w:r>
              <w:rPr>
                <w:rFonts w:ascii="Arial" w:cs="Arial" w:eastAsia="Arial" w:hAnsi="Arial"/>
                <w:sz w:val="24"/>
                <w:szCs w:val="24"/>
              </w:rPr>
              <w:t xml:space="preserve">   св. 10 до 50 </w:t>
            </w:r>
          </w:p>
          <w:p>
            <w:pPr>
              <w:jc w:val="both"/>
            </w:pPr>
            <w:r>
              <w:rPr>
                <w:rFonts w:ascii="Arial" w:cs="Arial" w:eastAsia="Arial" w:hAnsi="Arial"/>
                <w:sz w:val="24"/>
                <w:szCs w:val="24"/>
              </w:rPr>
              <w:t xml:space="preserve">Дополнительно в центральной городской библиотеке на 1 тыс. чел. при населении города, тыс. чел.:</w:t>
            </w:r>
          </w:p>
          <w:p>
            <w:pPr>
              <w:jc w:val="both"/>
            </w:pPr>
            <w:r>
              <w:rPr>
                <w:rFonts w:ascii="Arial" w:cs="Arial" w:eastAsia="Arial" w:hAnsi="Arial"/>
                <w:sz w:val="24"/>
                <w:szCs w:val="24"/>
              </w:rPr>
              <w:t xml:space="preserve">500 и более</w:t>
            </w:r>
          </w:p>
          <w:p>
            <w:pPr>
              <w:jc w:val="both"/>
            </w:pPr>
            <w:r>
              <w:rPr>
                <w:rFonts w:ascii="Arial" w:cs="Arial" w:eastAsia="Arial" w:hAnsi="Arial"/>
                <w:sz w:val="24"/>
                <w:szCs w:val="24"/>
              </w:rPr>
              <w:t xml:space="preserve">250</w:t>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50 и менее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Дополнительно в центральной библиотеке    местной    системы расселения    (административный район) на 1   тыс.  чел.  системы Клубы,    посетительское место на 1 тыс. чел. для сельских  населенных пунктов или их групп, тыс. чел.: </w:t>
            </w:r>
          </w:p>
          <w:p>
            <w:pPr>
              <w:jc w:val="both"/>
            </w:pPr>
            <w:r>
              <w:rPr>
                <w:rFonts w:ascii="Arial" w:cs="Arial" w:eastAsia="Arial" w:hAnsi="Arial"/>
                <w:sz w:val="24"/>
                <w:szCs w:val="24"/>
              </w:rPr>
              <w:t xml:space="preserve">св. 0,2 до 1 </w:t>
            </w:r>
          </w:p>
          <w:p>
            <w:pPr>
              <w:jc w:val="both"/>
            </w:pPr>
            <w:r>
              <w:rPr>
                <w:rFonts w:ascii="Arial" w:cs="Arial" w:eastAsia="Arial" w:hAnsi="Arial"/>
                <w:sz w:val="24"/>
                <w:szCs w:val="24"/>
              </w:rPr>
              <w:t xml:space="preserve">св. 1  до 2 </w:t>
            </w:r>
          </w:p>
          <w:p>
            <w:pPr>
              <w:jc w:val="both"/>
            </w:pPr>
            <w:r>
              <w:rPr>
                <w:rFonts w:ascii="Arial" w:cs="Arial" w:eastAsia="Arial" w:hAnsi="Arial"/>
                <w:sz w:val="24"/>
                <w:szCs w:val="24"/>
              </w:rPr>
              <w:t xml:space="preserve">св. 2  до 5 </w:t>
            </w:r>
          </w:p>
          <w:p>
            <w:pPr>
              <w:jc w:val="both"/>
            </w:pPr>
            <w:r>
              <w:rPr>
                <w:rFonts w:ascii="Arial" w:cs="Arial" w:eastAsia="Arial" w:hAnsi="Arial"/>
                <w:sz w:val="24"/>
                <w:szCs w:val="24"/>
              </w:rPr>
              <w:t xml:space="preserve">св. 5  до 10</w:t>
            </w:r>
          </w:p>
          <w:p>
            <w:pPr>
              <w:jc w:val="both"/>
            </w:pPr>
            <w:r>
              <w:rPr>
                <w:rFonts w:ascii="Arial" w:cs="Arial" w:eastAsia="Arial" w:hAnsi="Arial"/>
                <w:sz w:val="24"/>
                <w:szCs w:val="24"/>
              </w:rPr>
              <w:t xml:space="preserve"/>
            </w:r>
          </w:p>
        </w:tc>
        <w:tc>
          <w:tcPr>
            <w:tcW w:type="dxa" w:w="24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6-9</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 /2 (тыс.ед.хранения/чит. место)</w:t>
            </w:r>
          </w:p>
          <w:p>
            <w:pPr>
              <w:jc w:val="both"/>
            </w:pPr>
            <w:r>
              <w:rPr>
                <w:rFonts w:ascii="Arial" w:cs="Arial" w:eastAsia="Arial" w:hAnsi="Arial"/>
                <w:sz w:val="24"/>
                <w:szCs w:val="24"/>
              </w:rPr>
              <w:t xml:space="preserve">4-4,5/2-3(тыс.ед.хран./чит.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0,1/0,1  „</w:t>
            </w:r>
          </w:p>
          <w:p>
            <w:pPr>
              <w:jc w:val="both"/>
            </w:pPr>
            <w:r>
              <w:rPr>
                <w:rFonts w:ascii="Arial" w:cs="Arial" w:eastAsia="Arial" w:hAnsi="Arial"/>
                <w:sz w:val="24"/>
                <w:szCs w:val="24"/>
              </w:rPr>
              <w:t xml:space="preserve">0,2/0,2  „</w:t>
            </w:r>
          </w:p>
          <w:p>
            <w:pPr>
              <w:jc w:val="both"/>
            </w:pPr>
            <w:r>
              <w:rPr>
                <w:rFonts w:ascii="Arial" w:cs="Arial" w:eastAsia="Arial" w:hAnsi="Arial"/>
                <w:sz w:val="24"/>
                <w:szCs w:val="24"/>
              </w:rPr>
              <w:t xml:space="preserve">0,3/0,3 „</w:t>
            </w:r>
          </w:p>
          <w:p>
            <w:pPr>
              <w:jc w:val="both"/>
            </w:pPr>
            <w:r>
              <w:rPr>
                <w:rFonts w:ascii="Arial" w:cs="Arial" w:eastAsia="Arial" w:hAnsi="Arial"/>
                <w:sz w:val="24"/>
                <w:szCs w:val="24"/>
              </w:rPr>
              <w:t xml:space="preserve">0,5/0,3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4,5-5 / 3-4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500-300</w:t>
            </w:r>
          </w:p>
          <w:p>
            <w:pPr>
              <w:jc w:val="both"/>
            </w:pPr>
            <w:r>
              <w:rPr>
                <w:rFonts w:ascii="Arial" w:cs="Arial" w:eastAsia="Arial" w:hAnsi="Arial"/>
                <w:sz w:val="24"/>
                <w:szCs w:val="24"/>
              </w:rPr>
              <w:t xml:space="preserve">300-230</w:t>
            </w:r>
          </w:p>
          <w:p>
            <w:pPr>
              <w:jc w:val="both"/>
            </w:pPr>
            <w:r>
              <w:rPr>
                <w:rFonts w:ascii="Arial" w:cs="Arial" w:eastAsia="Arial" w:hAnsi="Arial"/>
                <w:sz w:val="24"/>
                <w:szCs w:val="24"/>
              </w:rPr>
              <w:t xml:space="preserve">230-190</w:t>
            </w:r>
          </w:p>
          <w:p>
            <w:pPr>
              <w:jc w:val="both"/>
            </w:pPr>
            <w:r>
              <w:rPr>
                <w:rFonts w:ascii="Arial" w:cs="Arial" w:eastAsia="Arial" w:hAnsi="Arial"/>
                <w:sz w:val="24"/>
                <w:szCs w:val="24"/>
              </w:rPr>
              <w:t xml:space="preserve">190-140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8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Меньшую вместимость клубов и библиотек следует принимать для больших населенных пунктов.</w:t>
            </w:r>
          </w:p>
        </w:tc>
      </w:tr>
      <w:tr>
        <w:tc>
          <w:tcPr>
            <w:tcW w:type="dxa" w:w="10177"/>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торговли, общественного питания и бытового обслуживания</w:t>
            </w:r>
          </w:p>
        </w:tc>
      </w:tr>
      <w:tr>
        <w:tc>
          <w:tcPr>
            <w:tcW w:type="dxa" w:w="237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Магазины,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r>
              <w:rPr>
                <w:rFonts w:ascii="Arial" w:cs="Arial" w:eastAsia="Arial" w:hAnsi="Arial"/>
                <w:sz w:val="24"/>
                <w:szCs w:val="24"/>
              </w:rPr>
              <w:t xml:space="preserve">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продовольственных товаров, объект</w:t>
            </w:r>
          </w:p>
          <w:p>
            <w:pPr>
              <w:jc w:val="both"/>
            </w:pPr>
            <w:r>
              <w:rPr>
                <w:rFonts w:ascii="Arial" w:cs="Arial" w:eastAsia="Arial" w:hAnsi="Arial"/>
                <w:sz w:val="24"/>
                <w:szCs w:val="24"/>
              </w:rPr>
              <w:t xml:space="preserve">непродовольственных товаров, объект</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280 (100)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 (70)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180(30)</w:t>
            </w:r>
          </w:p>
        </w:tc>
        <w:tc>
          <w:tcPr>
            <w:tcW w:type="dxa" w:w="4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Торговые центры местного  значения с числом обслуживаемого населения, тыс. чел.: </w:t>
            </w:r>
          </w:p>
          <w:p>
            <w:pPr>
              <w:jc w:val="both"/>
            </w:pPr>
            <w:r>
              <w:rPr>
                <w:rFonts w:ascii="Arial" w:cs="Arial" w:eastAsia="Arial" w:hAnsi="Arial"/>
                <w:sz w:val="24"/>
                <w:szCs w:val="24"/>
              </w:rPr>
              <w:t xml:space="preserve">от 4 до 6 – 0,4-0,6 га на объект</w:t>
            </w:r>
          </w:p>
          <w:p>
            <w:pPr>
              <w:jc w:val="both"/>
            </w:pPr>
            <w:r>
              <w:rPr>
                <w:rFonts w:ascii="Arial" w:cs="Arial" w:eastAsia="Arial" w:hAnsi="Arial"/>
                <w:sz w:val="24"/>
                <w:szCs w:val="24"/>
              </w:rPr>
              <w:t xml:space="preserve">св. 6 до 10 – 0,6-0,8  „ </w:t>
            </w:r>
          </w:p>
          <w:p>
            <w:pPr>
              <w:jc w:val="both"/>
            </w:pPr>
            <w:r>
              <w:rPr>
                <w:rFonts w:ascii="Arial" w:cs="Arial" w:eastAsia="Arial" w:hAnsi="Arial"/>
                <w:sz w:val="24"/>
                <w:szCs w:val="24"/>
              </w:rPr>
              <w:t xml:space="preserve">   св.</w:t>
            </w:r>
            <w:r>
              <w:rPr>
                <w:rFonts w:ascii="Arial" w:cs="Arial" w:eastAsia="Arial" w:hAnsi="Arial"/>
                <w:sz w:val="24"/>
                <w:szCs w:val="24"/>
              </w:rPr>
              <w:t xml:space="preserve"> 10 до 15 – 0,8-1,1 „ </w:t>
            </w:r>
          </w:p>
          <w:p>
            <w:pPr>
              <w:jc w:val="both"/>
            </w:pPr>
            <w:r>
              <w:rPr>
                <w:rFonts w:ascii="Arial" w:cs="Arial" w:eastAsia="Arial" w:hAnsi="Arial"/>
                <w:sz w:val="24"/>
                <w:szCs w:val="24"/>
              </w:rPr>
              <w:t xml:space="preserve">   св. </w:t>
            </w:r>
            <w:r>
              <w:rPr>
                <w:rFonts w:ascii="Arial" w:cs="Arial" w:eastAsia="Arial" w:hAnsi="Arial"/>
                <w:sz w:val="24"/>
                <w:szCs w:val="24"/>
              </w:rPr>
              <w:t xml:space="preserve">15 до 20 – 1,1-1,3 „ </w:t>
            </w:r>
          </w:p>
          <w:p>
            <w:pPr>
              <w:jc w:val="both"/>
            </w:pPr>
            <w:r>
              <w:rPr>
                <w:rFonts w:ascii="Arial" w:cs="Arial" w:eastAsia="Arial" w:hAnsi="Arial"/>
                <w:sz w:val="24"/>
                <w:szCs w:val="24"/>
              </w:rPr>
              <w:t xml:space="preserve">Торговые центры малых городов 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Нормы расчета включают всю сеть предприятий торгово- бытового обслуживания независимо от их ведомственной принадлежности и подлежат уточнению в установленном порядке с учетом особенностей регионов.  </w:t>
            </w:r>
          </w:p>
          <w:p>
            <w:pPr>
              <w:jc w:val="both"/>
            </w:pPr>
            <w:r>
              <w:rPr>
                <w:rFonts w:ascii="Arial" w:cs="Arial" w:eastAsia="Arial" w:hAnsi="Arial"/>
                <w:sz w:val="24"/>
                <w:szCs w:val="24"/>
              </w:rPr>
              <w:t xml:space="preserve">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увеличивается до 50%.</w:t>
            </w:r>
          </w:p>
          <w:p>
            <w:pPr>
              <w:jc w:val="both"/>
            </w:pPr>
            <w:r>
              <w:rPr>
                <w:rFonts w:ascii="Arial" w:cs="Arial" w:eastAsia="Arial" w:hAnsi="Arial"/>
                <w:sz w:val="24"/>
                <w:szCs w:val="24"/>
              </w:rPr>
              <w:t xml:space="preserve">В норму расчета магазинов непродовольственных товаров в городах входят специализированные магазины из расчета 10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p>
            <w:pPr>
              <w:jc w:val="both"/>
            </w:pPr>
            <w:r>
              <w:rPr>
                <w:rFonts w:ascii="Arial" w:cs="Arial" w:eastAsia="Arial" w:hAnsi="Arial"/>
                <w:sz w:val="24"/>
                <w:szCs w:val="24"/>
              </w:rPr>
              <w:t xml:space="preserve">Магазины специального назначения и магазины для отдельных категорий населения принимать по заданию на</w:t>
            </w:r>
            <w:r>
              <w:rPr>
                <w:rFonts w:ascii="Arial" w:cs="Arial" w:eastAsia="Arial" w:hAnsi="Arial"/>
                <w:sz w:val="24"/>
                <w:szCs w:val="24"/>
              </w:rPr>
              <w:t xml:space="preserve"> проектирование</w:t>
            </w:r>
          </w:p>
        </w:tc>
      </w:tr>
      <w:tr>
        <w:tc>
          <w:tcPr>
            <w:tcW w:type="dxa" w:w="118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21"/>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00"/>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1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2421"/>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1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1"/>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сельских населенных пунктов, с числом жителей, тыс, чел.:</w:t>
            </w:r>
          </w:p>
          <w:p>
            <w:pPr>
              <w:jc w:val="both"/>
            </w:pPr>
            <w:r>
              <w:rPr>
                <w:rFonts w:ascii="Arial" w:cs="Arial" w:eastAsia="Arial" w:hAnsi="Arial"/>
                <w:sz w:val="24"/>
                <w:szCs w:val="24"/>
              </w:rPr>
              <w:t xml:space="preserve">до 1             – 0,1 - 0,2 га</w:t>
            </w:r>
          </w:p>
          <w:p>
            <w:pPr>
              <w:jc w:val="both"/>
            </w:pPr>
            <w:r>
              <w:rPr>
                <w:rFonts w:ascii="Arial" w:cs="Arial" w:eastAsia="Arial" w:hAnsi="Arial"/>
                <w:sz w:val="24"/>
                <w:szCs w:val="24"/>
              </w:rPr>
              <w:t xml:space="preserve">св. 1 до 3    – 0,2 - 0,4 га</w:t>
            </w:r>
          </w:p>
          <w:p>
            <w:pPr>
              <w:jc w:val="both"/>
            </w:pPr>
            <w:r>
              <w:rPr>
                <w:rFonts w:ascii="Arial" w:cs="Arial" w:eastAsia="Arial" w:hAnsi="Arial"/>
                <w:sz w:val="24"/>
                <w:szCs w:val="24"/>
              </w:rPr>
              <w:t xml:space="preserve">св. 3 до 4    – 0,4 - 0,6 га</w:t>
            </w:r>
          </w:p>
          <w:p>
            <w:pPr>
              <w:jc w:val="both"/>
            </w:pPr>
            <w:r>
              <w:rPr>
                <w:rFonts w:ascii="Arial" w:cs="Arial" w:eastAsia="Arial" w:hAnsi="Arial"/>
                <w:sz w:val="24"/>
                <w:szCs w:val="24"/>
              </w:rPr>
              <w:t xml:space="preserve">св. 5 до 6    – 0,6 - 1,0 га</w:t>
            </w:r>
          </w:p>
          <w:p>
            <w:pPr>
              <w:jc w:val="both"/>
            </w:pPr>
            <w:r>
              <w:rPr>
                <w:rFonts w:ascii="Arial" w:cs="Arial" w:eastAsia="Arial" w:hAnsi="Arial"/>
                <w:sz w:val="24"/>
                <w:szCs w:val="24"/>
              </w:rPr>
              <w:t xml:space="preserve">св. 7 до 10   – 1,0 - 2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Предприятия торговли, м</w:t>
            </w:r>
            <w:r>
              <w:rPr>
                <w:rFonts w:ascii="Arial" w:cs="Arial" w:eastAsia="Arial" w:hAnsi="Arial"/>
                <w:sz w:val="24"/>
                <w:szCs w:val="24"/>
              </w:rPr>
              <w:t xml:space="preserve">2</w:t>
            </w:r>
            <w:r>
              <w:rPr>
                <w:rFonts w:ascii="Arial" w:cs="Arial" w:eastAsia="Arial" w:hAnsi="Arial"/>
                <w:sz w:val="24"/>
                <w:szCs w:val="24"/>
              </w:rPr>
              <w:t xml:space="preserve">  торговой площади:</w:t>
            </w:r>
          </w:p>
          <w:p>
            <w:pPr>
              <w:jc w:val="both"/>
            </w:pPr>
            <w:r>
              <w:rPr>
                <w:rFonts w:ascii="Arial" w:cs="Arial" w:eastAsia="Arial" w:hAnsi="Arial"/>
                <w:sz w:val="24"/>
                <w:szCs w:val="24"/>
              </w:rPr>
              <w:t xml:space="preserve">до 250  – 0,08 га на 100м</w:t>
            </w:r>
            <w:r>
              <w:rPr>
                <w:rFonts w:ascii="Arial" w:cs="Arial" w:eastAsia="Arial" w:hAnsi="Arial"/>
                <w:sz w:val="24"/>
                <w:szCs w:val="24"/>
              </w:rPr>
              <w:t xml:space="preserve">2</w:t>
            </w:r>
            <w:r>
              <w:rPr>
                <w:rFonts w:ascii="Arial" w:cs="Arial" w:eastAsia="Arial" w:hAnsi="Arial"/>
                <w:sz w:val="24"/>
                <w:szCs w:val="24"/>
              </w:rPr>
              <w:t xml:space="preserve"> торговой</w:t>
            </w:r>
          </w:p>
          <w:p>
            <w:pPr>
              <w:jc w:val="both"/>
            </w:pPr>
            <w:r>
              <w:rPr>
                <w:rFonts w:ascii="Arial" w:cs="Arial" w:eastAsia="Arial" w:hAnsi="Arial"/>
                <w:sz w:val="24"/>
                <w:szCs w:val="24"/>
              </w:rPr>
              <w:t xml:space="preserve">                      площади</w:t>
            </w:r>
          </w:p>
          <w:p>
            <w:pPr>
              <w:jc w:val="both"/>
            </w:pPr>
            <w:r>
              <w:rPr>
                <w:rFonts w:ascii="Arial" w:cs="Arial" w:eastAsia="Arial" w:hAnsi="Arial"/>
                <w:sz w:val="24"/>
                <w:szCs w:val="24"/>
              </w:rPr>
              <w:t xml:space="preserve">св. 250 до 650     – 0,08 - 0,06    „ </w:t>
            </w:r>
          </w:p>
          <w:p>
            <w:pPr>
              <w:jc w:val="both"/>
            </w:pPr>
            <w:r>
              <w:rPr>
                <w:rFonts w:ascii="Arial" w:cs="Arial" w:eastAsia="Arial" w:hAnsi="Arial"/>
                <w:sz w:val="24"/>
                <w:szCs w:val="24"/>
              </w:rPr>
              <w:t xml:space="preserve">св. 650 до 1500   – 0,06 - 0,04   „ </w:t>
            </w:r>
          </w:p>
          <w:p>
            <w:pPr>
              <w:jc w:val="both"/>
            </w:pPr>
            <w:r>
              <w:rPr>
                <w:rFonts w:ascii="Arial" w:cs="Arial" w:eastAsia="Arial" w:hAnsi="Arial"/>
                <w:sz w:val="24"/>
                <w:szCs w:val="24"/>
              </w:rPr>
              <w:t xml:space="preserve">св. 1500 до 3500 – 0,04 - 0,02  „ </w:t>
            </w:r>
          </w:p>
          <w:p>
            <w:pPr>
              <w:jc w:val="both"/>
            </w:pPr>
            <w:r>
              <w:rPr>
                <w:rFonts w:ascii="Arial" w:cs="Arial" w:eastAsia="Arial" w:hAnsi="Arial"/>
                <w:sz w:val="24"/>
                <w:szCs w:val="24"/>
              </w:rPr>
              <w:t xml:space="preserve">св. 3500               – 0,02       „</w:t>
            </w:r>
          </w:p>
        </w:tc>
        <w:tc>
          <w:tcPr>
            <w:tcW w:type="dxa" w:w="2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дополнительно к установленной норме расчета магазинов продовольственных товаров, ориентировочно -5-10     м</w:t>
            </w:r>
            <w:r>
              <w:rPr>
                <w:rFonts w:ascii="Arial" w:cs="Arial" w:eastAsia="Arial" w:hAnsi="Arial"/>
                <w:sz w:val="24"/>
                <w:szCs w:val="24"/>
              </w:rPr>
              <w:t xml:space="preserve">2 </w:t>
            </w:r>
            <w:r>
              <w:rPr>
                <w:rFonts w:ascii="Arial" w:cs="Arial" w:eastAsia="Arial" w:hAnsi="Arial"/>
                <w:sz w:val="24"/>
                <w:szCs w:val="24"/>
              </w:rPr>
              <w:t xml:space="preserve">торговой площади на 1 тыс. чел. В поселках садоводческих     товариществ продовольственные магазины предусматривать из расчета     80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p>
            <w:pPr>
              <w:jc w:val="both"/>
            </w:pPr>
            <w:r>
              <w:rPr>
                <w:rFonts w:ascii="Arial" w:cs="Arial" w:eastAsia="Arial" w:hAnsi="Arial"/>
                <w:sz w:val="24"/>
                <w:szCs w:val="24"/>
              </w:rPr>
              <w:t xml:space="preserve">На промышленных предприятиях и в других местах приложения труда предусматривать магазины продовольственные из расчета, м</w:t>
            </w:r>
            <w:r>
              <w:rPr>
                <w:rFonts w:ascii="Arial" w:cs="Arial" w:eastAsia="Arial" w:hAnsi="Arial"/>
                <w:sz w:val="24"/>
                <w:szCs w:val="24"/>
              </w:rPr>
              <w:t xml:space="preserve">2  </w:t>
            </w:r>
            <w:r>
              <w:rPr>
                <w:rFonts w:ascii="Arial" w:cs="Arial" w:eastAsia="Arial" w:hAnsi="Arial"/>
                <w:sz w:val="24"/>
                <w:szCs w:val="24"/>
              </w:rPr>
              <w:t xml:space="preserve">нормируемой площади на 1 тыс. работающих:  60- при удаленном размещении промпредприятий от селитебной зоны; 36- при размещений промпредприятий у границ селитебной зоны; 24- при размещении мест приложения труда в пределах селитебной территории  (на площади магазинов и в отдельных объектах)</w:t>
            </w:r>
          </w:p>
        </w:tc>
      </w:tr>
      <w:tr>
        <w:tc>
          <w:tcPr>
            <w:tcW w:type="dxa" w:w="1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5"/>
        <w:gridCol w:w="2446"/>
        <w:gridCol w:w="3014"/>
        <w:gridCol w:w="2632"/>
      </w:tblGrid>
      <w:tr>
        <w:tc>
          <w:tcPr>
            <w:tcW w:type="dxa" w:w="20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6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0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Рыночные комплексы,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Предприятия общественного питания,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7 до 14 м</w:t>
            </w:r>
            <w:r>
              <w:rPr>
                <w:rFonts w:ascii="Arial" w:cs="Arial" w:eastAsia="Arial" w:hAnsi="Arial"/>
                <w:sz w:val="24"/>
                <w:szCs w:val="24"/>
              </w:rPr>
              <w:t xml:space="preserve">2</w:t>
            </w:r>
            <w:r>
              <w:rPr>
                <w:rFonts w:ascii="Arial" w:cs="Arial" w:eastAsia="Arial" w:hAnsi="Arial"/>
                <w:sz w:val="24"/>
                <w:szCs w:val="24"/>
              </w:rPr>
              <w:t xml:space="preserve"> на 1 м</w:t>
            </w:r>
            <w:r>
              <w:rPr>
                <w:rFonts w:ascii="Arial" w:cs="Arial" w:eastAsia="Arial" w:hAnsi="Arial"/>
                <w:sz w:val="24"/>
                <w:szCs w:val="24"/>
              </w:rPr>
              <w:t xml:space="preserve">2</w:t>
            </w:r>
            <w:r>
              <w:rPr>
                <w:rFonts w:ascii="Arial" w:cs="Arial" w:eastAsia="Arial" w:hAnsi="Arial"/>
                <w:sz w:val="24"/>
                <w:szCs w:val="24"/>
              </w:rPr>
              <w:t xml:space="preserve"> торговой площади рыночного комплекса в зависимости от вместимости: 14 м</w:t>
            </w:r>
            <w:r>
              <w:rPr>
                <w:rFonts w:ascii="Arial" w:cs="Arial" w:eastAsia="Arial" w:hAnsi="Arial"/>
                <w:sz w:val="24"/>
                <w:szCs w:val="24"/>
              </w:rPr>
              <w:t xml:space="preserve">2</w:t>
            </w:r>
            <w:r>
              <w:rPr>
                <w:rFonts w:ascii="Arial" w:cs="Arial" w:eastAsia="Arial" w:hAnsi="Arial"/>
                <w:sz w:val="24"/>
                <w:szCs w:val="24"/>
              </w:rPr>
              <w:t xml:space="preserve">   – при торговой площади до 600 м</w:t>
            </w:r>
            <w:r>
              <w:rPr>
                <w:rFonts w:ascii="Arial" w:cs="Arial" w:eastAsia="Arial" w:hAnsi="Arial"/>
                <w:sz w:val="24"/>
                <w:szCs w:val="24"/>
              </w:rPr>
              <w:t xml:space="preserve">2</w:t>
            </w:r>
            <w:r>
              <w:rPr>
                <w:rFonts w:ascii="Arial" w:cs="Arial" w:eastAsia="Arial" w:hAnsi="Arial"/>
                <w:sz w:val="24"/>
                <w:szCs w:val="24"/>
              </w:rPr>
              <w:t xml:space="preserve">, 7 м</w:t>
            </w:r>
            <w:r>
              <w:rPr>
                <w:rFonts w:ascii="Arial" w:cs="Arial" w:eastAsia="Arial" w:hAnsi="Arial"/>
                <w:sz w:val="24"/>
                <w:szCs w:val="24"/>
              </w:rPr>
              <w:t xml:space="preserve">2</w:t>
            </w:r>
            <w:r>
              <w:rPr>
                <w:rFonts w:ascii="Arial" w:cs="Arial" w:eastAsia="Arial" w:hAnsi="Arial"/>
                <w:sz w:val="24"/>
                <w:szCs w:val="24"/>
              </w:rPr>
              <w:t xml:space="preserve"> – св. 3000 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При числе мест, га на 100 мест:</w:t>
            </w:r>
          </w:p>
          <w:p>
            <w:pPr>
              <w:jc w:val="both"/>
            </w:pPr>
            <w:r>
              <w:rPr>
                <w:rFonts w:ascii="Arial" w:cs="Arial" w:eastAsia="Arial" w:hAnsi="Arial"/>
                <w:sz w:val="24"/>
                <w:szCs w:val="24"/>
              </w:rPr>
              <w:t xml:space="preserve">до 50             – 0,2 - 0,25</w:t>
            </w:r>
          </w:p>
          <w:p>
            <w:pPr>
              <w:jc w:val="both"/>
            </w:pPr>
            <w:r>
              <w:rPr>
                <w:rFonts w:ascii="Arial" w:cs="Arial" w:eastAsia="Arial" w:hAnsi="Arial"/>
                <w:sz w:val="24"/>
                <w:szCs w:val="24"/>
              </w:rPr>
              <w:t xml:space="preserve">св. 50 до 150 – 0,2 - 0,15</w:t>
            </w:r>
          </w:p>
          <w:p>
            <w:pPr>
              <w:jc w:val="both"/>
            </w:pPr>
            <w:r>
              <w:rPr>
                <w:rFonts w:ascii="Arial" w:cs="Arial" w:eastAsia="Arial" w:hAnsi="Arial"/>
                <w:sz w:val="24"/>
                <w:szCs w:val="24"/>
              </w:rPr>
              <w:t xml:space="preserve">„150              – 0,1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6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рыночного комплекса на 1 торговое    место следует принимать торговой площади 6 м</w:t>
            </w:r>
            <w:r>
              <w:rPr>
                <w:rFonts w:ascii="Arial" w:cs="Arial" w:eastAsia="Arial" w:hAnsi="Arial"/>
                <w:sz w:val="24"/>
                <w:szCs w:val="24"/>
              </w:rPr>
              <w:t xml:space="preserve">2</w:t>
            </w:r>
          </w:p>
          <w:p>
            <w:pPr>
              <w:jc w:val="both"/>
            </w:pPr>
            <w:r>
              <w:rPr>
                <w:rFonts w:ascii="Arial" w:cs="Arial" w:eastAsia="Arial" w:hAnsi="Arial"/>
                <w:sz w:val="24"/>
                <w:szCs w:val="24"/>
              </w:rPr>
              <w:t xml:space="preserve">В городах-курортах и городах – центрах туризма расчет сети предприятий общественного питания следует принимать с учетом временного населения: на бальнеологических курортах до 90 мест, на климатических курортах до 120 мест на 1 тыс. чел.</w:t>
            </w:r>
          </w:p>
          <w:p>
            <w:pPr>
              <w:jc w:val="both"/>
            </w:pPr>
            <w:r>
              <w:rPr>
                <w:rFonts w:ascii="Arial" w:cs="Arial" w:eastAsia="Arial" w:hAnsi="Arial"/>
                <w:sz w:val="24"/>
                <w:szCs w:val="24"/>
              </w:rPr>
              <w:t xml:space="preserve">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Заготовочные предприятия общественного питания рассчитываются по норме -300 кг в сутки на 1 тыс. чел.</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9"/>
        <w:gridCol w:w="2226"/>
        <w:gridCol w:w="3099"/>
        <w:gridCol w:w="2524"/>
      </w:tblGrid>
      <w:tr>
        <w:tc>
          <w:tcPr>
            <w:tcW w:type="dxa" w:w="23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Магазины кулинарии,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p>
            <w:pPr>
              <w:jc w:val="both"/>
            </w:pPr>
            <w:r>
              <w:rPr>
                <w:rFonts w:ascii="Arial" w:cs="Arial" w:eastAsia="Arial" w:hAnsi="Arial"/>
                <w:sz w:val="24"/>
                <w:szCs w:val="24"/>
              </w:rPr>
              <w:t xml:space="preserve">Предприятия бытового обслуживания, рабочее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непосредственного обслуживания населения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производственные предприятия централизованного выполнения заказов, объект </w:t>
            </w:r>
            <w:r>
              <w:rPr>
                <w:rFonts w:ascii="Arial" w:cs="Arial" w:eastAsia="Arial" w:hAnsi="Arial"/>
                <w:i/>
                <w:iCs/>
                <w:sz w:val="24"/>
                <w:szCs w:val="24"/>
              </w:rPr>
              <w:t xml:space="preserve">Предприятия  коммунального обслуживания:</w:t>
            </w:r>
          </w:p>
          <w:p>
            <w:pPr>
              <w:jc w:val="both"/>
            </w:pPr>
            <w:r>
              <w:rPr>
                <w:rFonts w:ascii="Arial" w:cs="Arial" w:eastAsia="Arial" w:hAnsi="Arial"/>
                <w:sz w:val="24"/>
                <w:szCs w:val="24"/>
              </w:rPr>
              <w:t xml:space="preserve">Прачечные, кг белья в смену на 1 тыс. чел.</w:t>
            </w:r>
          </w:p>
          <w:p>
            <w:pPr>
              <w:jc w:val="both"/>
            </w:pPr>
            <w:r>
              <w:rPr>
                <w:rFonts w:ascii="Arial" w:cs="Arial" w:eastAsia="Arial" w:hAnsi="Arial"/>
                <w:sz w:val="24"/>
                <w:szCs w:val="24"/>
              </w:rPr>
              <w:t xml:space="preserve">   В том числе:</w:t>
            </w:r>
          </w:p>
          <w:p>
            <w:pPr>
              <w:jc w:val="both"/>
            </w:pPr>
            <w:r>
              <w:rPr>
                <w:rFonts w:ascii="Arial" w:cs="Arial" w:eastAsia="Arial" w:hAnsi="Arial"/>
                <w:sz w:val="24"/>
                <w:szCs w:val="24"/>
              </w:rPr>
              <w:t xml:space="preserve">   прачечные</w:t>
            </w:r>
          </w:p>
          <w:p>
            <w:pPr>
              <w:jc w:val="both"/>
            </w:pPr>
            <w:r>
              <w:rPr>
                <w:rFonts w:ascii="Arial" w:cs="Arial" w:eastAsia="Arial" w:hAnsi="Arial"/>
                <w:sz w:val="24"/>
                <w:szCs w:val="24"/>
              </w:rPr>
              <w:t xml:space="preserve">   самообслуживания, объект фабрики-прачечные, объект</w:t>
            </w:r>
          </w:p>
          <w:p>
            <w:pPr>
              <w:jc w:val="both"/>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 (2,0)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10(10)</w:t>
            </w:r>
          </w:p>
          <w:p>
            <w:pPr>
              <w:jc w:val="both"/>
            </w:pPr>
            <w:r>
              <w:rPr>
                <w:rFonts w:ascii="Arial" w:cs="Arial" w:eastAsia="Arial" w:hAnsi="Arial"/>
                <w:sz w:val="24"/>
                <w:szCs w:val="24"/>
              </w:rPr>
              <w:t xml:space="preserve">110</w:t>
            </w:r>
          </w:p>
          <w:p>
            <w:pPr>
              <w:jc w:val="both"/>
            </w:pPr>
            <w:r>
              <w:rPr>
                <w:rFonts w:ascii="Arial" w:cs="Arial" w:eastAsia="Arial" w:hAnsi="Arial"/>
                <w:sz w:val="24"/>
                <w:szCs w:val="24"/>
              </w:rPr>
              <w:t xml:space="preserve"/>
            </w:r>
          </w:p>
        </w:tc>
        <w:tc>
          <w:tcPr>
            <w:tcW w:type="dxa" w:w="3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 10 рабочих мест для предприятий мощностью, рабочих мест:</w:t>
            </w:r>
          </w:p>
          <w:p>
            <w:pPr>
              <w:jc w:val="both"/>
            </w:pPr>
            <w:r>
              <w:rPr>
                <w:rFonts w:ascii="Arial" w:cs="Arial" w:eastAsia="Arial" w:hAnsi="Arial"/>
                <w:sz w:val="24"/>
                <w:szCs w:val="24"/>
              </w:rPr>
              <w:t xml:space="preserve">0,1 -0,2 га –10-50</w:t>
            </w:r>
          </w:p>
          <w:p>
            <w:pPr>
              <w:jc w:val="both"/>
            </w:pPr>
            <w:r>
              <w:rPr>
                <w:rFonts w:ascii="Arial" w:cs="Arial" w:eastAsia="Arial" w:hAnsi="Arial"/>
                <w:sz w:val="24"/>
                <w:szCs w:val="24"/>
              </w:rPr>
              <w:t xml:space="preserve">0.05-0,08 га – 50-150 </w:t>
            </w:r>
          </w:p>
          <w:p>
            <w:pPr>
              <w:jc w:val="both"/>
            </w:pPr>
            <w:r>
              <w:rPr>
                <w:rFonts w:ascii="Arial" w:cs="Arial" w:eastAsia="Arial" w:hAnsi="Arial"/>
                <w:sz w:val="24"/>
                <w:szCs w:val="24"/>
              </w:rPr>
              <w:t xml:space="preserve">0.03-0,04 га – 150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0,5-1,2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0,1-0,2 га на объект</w:t>
            </w:r>
          </w:p>
          <w:p>
            <w:pPr>
              <w:jc w:val="both"/>
            </w:pPr>
            <w:r>
              <w:rPr>
                <w:rFonts w:ascii="Arial" w:cs="Arial" w:eastAsia="Arial" w:hAnsi="Arial"/>
                <w:sz w:val="24"/>
                <w:szCs w:val="24"/>
              </w:rPr>
              <w:t xml:space="preserve">0,5-1,0 га на объект</w:t>
            </w:r>
          </w:p>
        </w:tc>
        <w:tc>
          <w:tcPr>
            <w:tcW w:type="dxa" w:w="25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Для производственных предприятий и других   мест приложения труда показатель расчета предприятий бытового обслуживания следует принимать в размере 5-10% в счет общей нормы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Показатель расчета фабрик</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8"/>
        <w:gridCol w:w="2510"/>
        <w:gridCol w:w="3008"/>
        <w:gridCol w:w="2362"/>
      </w:tblGrid>
      <w:tr>
        <w:tc>
          <w:tcPr>
            <w:tcW w:type="dxa" w:w="229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Химчистки, кг вещей в смену на 1 тыс. чел.</w:t>
            </w:r>
          </w:p>
          <w:p>
            <w:pPr>
              <w:jc w:val="both"/>
            </w:pPr>
            <w:r>
              <w:rPr>
                <w:rFonts w:ascii="Arial" w:cs="Arial" w:eastAsia="Arial" w:hAnsi="Arial"/>
                <w:sz w:val="24"/>
                <w:szCs w:val="24"/>
              </w:rPr>
              <w:t xml:space="preserve">   В том числе:</w:t>
            </w:r>
          </w:p>
          <w:p>
            <w:pPr>
              <w:jc w:val="both"/>
            </w:pPr>
            <w:r>
              <w:rPr>
                <w:rFonts w:ascii="Arial" w:cs="Arial" w:eastAsia="Arial" w:hAnsi="Arial"/>
                <w:sz w:val="24"/>
                <w:szCs w:val="24"/>
              </w:rPr>
              <w:t xml:space="preserve">   химчистки для</w:t>
            </w:r>
          </w:p>
          <w:p>
            <w:pPr>
              <w:jc w:val="both"/>
            </w:pPr>
            <w:r>
              <w:rPr>
                <w:rFonts w:ascii="Arial" w:cs="Arial" w:eastAsia="Arial" w:hAnsi="Arial"/>
                <w:sz w:val="24"/>
                <w:szCs w:val="24"/>
              </w:rPr>
              <w:t xml:space="preserve">   самообслуживания,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фабрики-химчистки, объект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Бани,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 (4,0)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(4,0)</w:t>
            </w:r>
          </w:p>
          <w:p>
            <w:pPr>
              <w:jc w:val="both"/>
            </w:pPr>
            <w:r>
              <w:rPr>
                <w:rFonts w:ascii="Arial" w:cs="Arial" w:eastAsia="Arial" w:hAnsi="Arial"/>
                <w:sz w:val="24"/>
                <w:szCs w:val="24"/>
              </w:rPr>
              <w:t xml:space="preserve">7,4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5/7</w:t>
            </w:r>
          </w:p>
        </w:tc>
        <w:tc>
          <w:tcPr>
            <w:tcW w:type="dxa" w:w="3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0,1-0,2 га на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0,5-0,1 га на объект </w:t>
            </w:r>
          </w:p>
          <w:p>
            <w:pPr>
              <w:jc w:val="both"/>
            </w:pPr>
            <w:r>
              <w:rPr>
                <w:rFonts w:ascii="Arial" w:cs="Arial" w:eastAsia="Arial" w:hAnsi="Arial"/>
                <w:sz w:val="24"/>
                <w:szCs w:val="24"/>
              </w:rPr>
              <w:t xml:space="preserve">0,2-0,4 га на объект</w:t>
            </w:r>
          </w:p>
          <w:p>
            <w:pPr>
              <w:jc w:val="both"/>
            </w:pPr>
            <w:r>
              <w:rPr>
                <w:rFonts w:ascii="Arial" w:cs="Arial" w:eastAsia="Arial" w:hAnsi="Arial"/>
                <w:sz w:val="24"/>
                <w:szCs w:val="24"/>
              </w:rPr>
              <w:t xml:space="preserve"/>
            </w:r>
          </w:p>
        </w:tc>
        <w:tc>
          <w:tcPr>
            <w:tcW w:type="dxa" w:w="2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населенных пунктах,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 для городов, размещаемых 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 увеличивать до 8, а для населенных пунктов- новостроек - до 10 мест.</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Организации и учреждения управления, проектные организации, кредитно-финансовые учреждения и предприятия связи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Отделения банков, операционная касса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Отделения и филиалы сберегательного банка операционное место</w:t>
            </w:r>
          </w:p>
          <w:p>
            <w:pPr>
              <w:jc w:val="both"/>
            </w:pPr>
            <w:r>
              <w:rPr>
                <w:rFonts w:ascii="Arial" w:cs="Arial" w:eastAsia="Arial" w:hAnsi="Arial"/>
                <w:sz w:val="24"/>
                <w:szCs w:val="24"/>
              </w:rPr>
              <w:t xml:space="preserve">в городах</w:t>
            </w:r>
            <w:r>
              <w:rPr>
                <w:rFonts w:ascii="Arial" w:cs="Arial" w:eastAsia="Arial" w:hAnsi="Arial"/>
                <w:b/>
                <w:bCs/>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Организации и учреждения</w:t>
            </w:r>
          </w:p>
          <w:p>
            <w:pPr>
              <w:jc w:val="both"/>
            </w:pPr>
            <w:r>
              <w:rPr>
                <w:rFonts w:ascii="Arial" w:cs="Arial" w:eastAsia="Arial" w:hAnsi="Arial"/>
                <w:sz w:val="24"/>
                <w:szCs w:val="24"/>
              </w:rPr>
              <w:t xml:space="preserve">управления, объект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операционная касса на 10-30</w:t>
            </w:r>
          </w:p>
          <w:p>
            <w:pPr>
              <w:jc w:val="both"/>
            </w:pPr>
            <w:r>
              <w:rPr>
                <w:rFonts w:ascii="Arial" w:cs="Arial" w:eastAsia="Arial" w:hAnsi="Arial"/>
                <w:sz w:val="24"/>
                <w:szCs w:val="24"/>
              </w:rPr>
              <w:t xml:space="preserve">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операционное место (окно) на 2-3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 на объект:</w:t>
            </w:r>
          </w:p>
          <w:p>
            <w:pPr>
              <w:jc w:val="both"/>
            </w:pPr>
            <w:r>
              <w:rPr>
                <w:rFonts w:ascii="Arial" w:cs="Arial" w:eastAsia="Arial" w:hAnsi="Arial"/>
                <w:sz w:val="24"/>
                <w:szCs w:val="24"/>
              </w:rPr>
              <w:t xml:space="preserve">0,2 – при двух операционных  </w:t>
            </w:r>
          </w:p>
          <w:p>
            <w:pPr>
              <w:jc w:val="both"/>
            </w:pPr>
            <w:r>
              <w:rPr>
                <w:rFonts w:ascii="Arial" w:cs="Arial" w:eastAsia="Arial" w:hAnsi="Arial"/>
                <w:sz w:val="24"/>
                <w:szCs w:val="24"/>
              </w:rPr>
              <w:t xml:space="preserve">                           кассах</w:t>
            </w:r>
          </w:p>
          <w:p>
            <w:pPr>
              <w:jc w:val="both"/>
            </w:pPr>
            <w:r>
              <w:rPr>
                <w:rFonts w:ascii="Arial" w:cs="Arial" w:eastAsia="Arial" w:hAnsi="Arial"/>
                <w:sz w:val="24"/>
                <w:szCs w:val="24"/>
              </w:rPr>
              <w:t xml:space="preserve">0,5–при семи операционных  </w:t>
            </w:r>
          </w:p>
          <w:p>
            <w:pPr>
              <w:jc w:val="both"/>
            </w:pPr>
            <w:r>
              <w:rPr>
                <w:rFonts w:ascii="Arial" w:cs="Arial" w:eastAsia="Arial" w:hAnsi="Arial"/>
                <w:sz w:val="24"/>
                <w:szCs w:val="24"/>
              </w:rPr>
              <w:t xml:space="preserve">                           кассах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0,05 – при трех операционных</w:t>
            </w:r>
          </w:p>
          <w:p>
            <w:pPr>
              <w:jc w:val="both"/>
            </w:pPr>
            <w:r>
              <w:rPr>
                <w:rFonts w:ascii="Arial" w:cs="Arial" w:eastAsia="Arial" w:hAnsi="Arial"/>
                <w:sz w:val="24"/>
                <w:szCs w:val="24"/>
              </w:rPr>
              <w:t xml:space="preserve">                     местах</w:t>
            </w:r>
          </w:p>
          <w:p>
            <w:pPr>
              <w:jc w:val="both"/>
            </w:pPr>
            <w:r>
              <w:rPr>
                <w:rFonts w:ascii="Arial" w:cs="Arial" w:eastAsia="Arial" w:hAnsi="Arial"/>
                <w:sz w:val="24"/>
                <w:szCs w:val="24"/>
              </w:rPr>
              <w:t xml:space="preserve">0,4 – при 20 операционных  </w:t>
            </w:r>
          </w:p>
          <w:p>
            <w:pPr>
              <w:jc w:val="both"/>
            </w:pPr>
            <w:r>
              <w:rPr>
                <w:rFonts w:ascii="Arial" w:cs="Arial" w:eastAsia="Arial" w:hAnsi="Arial"/>
                <w:sz w:val="24"/>
                <w:szCs w:val="24"/>
              </w:rPr>
              <w:t xml:space="preserve">                           кассах</w:t>
            </w:r>
          </w:p>
          <w:p>
            <w:pPr>
              <w:jc w:val="both"/>
            </w:pPr>
            <w:r>
              <w:rPr>
                <w:rFonts w:ascii="Arial" w:cs="Arial" w:eastAsia="Arial" w:hAnsi="Arial"/>
                <w:sz w:val="24"/>
                <w:szCs w:val="24"/>
              </w:rPr>
              <w:t xml:space="preserve">В зависимости от этажности здания, м</w:t>
            </w:r>
            <w:r>
              <w:rPr>
                <w:rFonts w:ascii="Arial" w:cs="Arial" w:eastAsia="Arial" w:hAnsi="Arial"/>
                <w:sz w:val="24"/>
                <w:szCs w:val="24"/>
              </w:rPr>
              <w:t xml:space="preserve">2</w:t>
            </w:r>
            <w:r>
              <w:rPr>
                <w:rFonts w:ascii="Arial" w:cs="Arial" w:eastAsia="Arial" w:hAnsi="Arial"/>
                <w:sz w:val="24"/>
                <w:szCs w:val="24"/>
              </w:rPr>
              <w:t xml:space="preserve"> на 1 сотрудника:</w:t>
            </w:r>
          </w:p>
          <w:p>
            <w:pPr>
              <w:jc w:val="both"/>
            </w:pPr>
            <w:r>
              <w:rPr>
                <w:rFonts w:ascii="Arial" w:cs="Arial" w:eastAsia="Arial" w:hAnsi="Arial"/>
                <w:sz w:val="24"/>
                <w:szCs w:val="24"/>
              </w:rPr>
              <w:t xml:space="preserve">44   – 18,5 при этажности 3–5</w:t>
            </w:r>
          </w:p>
          <w:p>
            <w:pPr>
              <w:jc w:val="both"/>
            </w:pPr>
            <w:r>
              <w:rPr>
                <w:rFonts w:ascii="Arial" w:cs="Arial" w:eastAsia="Arial" w:hAnsi="Arial"/>
                <w:sz w:val="24"/>
                <w:szCs w:val="24"/>
              </w:rPr>
              <w:t xml:space="preserve">13,5 – 11 при этажности 9-12</w:t>
            </w:r>
          </w:p>
          <w:p>
            <w:pPr>
              <w:jc w:val="both"/>
            </w:pPr>
            <w:r>
              <w:rPr>
                <w:rFonts w:ascii="Arial" w:cs="Arial" w:eastAsia="Arial" w:hAnsi="Arial"/>
                <w:sz w:val="24"/>
                <w:szCs w:val="24"/>
              </w:rPr>
              <w:t xml:space="preserve">10,5           при этажности 16 и более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Областных, городских, районных органов власти, м</w:t>
            </w:r>
            <w:r>
              <w:rPr>
                <w:rFonts w:ascii="Arial" w:cs="Arial" w:eastAsia="Arial" w:hAnsi="Arial"/>
                <w:sz w:val="24"/>
                <w:szCs w:val="24"/>
              </w:rPr>
              <w:t xml:space="preserve">2</w:t>
            </w:r>
            <w:r>
              <w:rPr>
                <w:rFonts w:ascii="Arial" w:cs="Arial" w:eastAsia="Arial" w:hAnsi="Arial"/>
                <w:sz w:val="24"/>
                <w:szCs w:val="24"/>
              </w:rPr>
              <w:t xml:space="preserve"> на 1 сотрудника: 54 –30 при этажности 3– 5 </w:t>
            </w:r>
          </w:p>
          <w:p>
            <w:pPr>
              <w:jc w:val="both"/>
            </w:pPr>
            <w:r>
              <w:rPr>
                <w:rFonts w:ascii="Arial" w:cs="Arial" w:eastAsia="Arial" w:hAnsi="Arial"/>
                <w:sz w:val="24"/>
                <w:szCs w:val="24"/>
              </w:rPr>
              <w:t xml:space="preserve">13-12 при этажности  9-12 </w:t>
            </w:r>
          </w:p>
          <w:p>
            <w:pPr>
              <w:jc w:val="both"/>
            </w:pPr>
            <w:r>
              <w:rPr>
                <w:rFonts w:ascii="Arial" w:cs="Arial" w:eastAsia="Arial" w:hAnsi="Arial"/>
                <w:sz w:val="24"/>
                <w:szCs w:val="24"/>
              </w:rPr>
              <w:t xml:space="preserve">11        при этажности 16 и более айыл-окмоту, м</w:t>
            </w:r>
            <w:r>
              <w:rPr>
                <w:rFonts w:ascii="Arial" w:cs="Arial" w:eastAsia="Arial" w:hAnsi="Arial"/>
                <w:sz w:val="24"/>
                <w:szCs w:val="24"/>
              </w:rPr>
              <w:t xml:space="preserve">2</w:t>
            </w:r>
            <w:r>
              <w:rPr>
                <w:rFonts w:ascii="Arial" w:cs="Arial" w:eastAsia="Arial" w:hAnsi="Arial"/>
                <w:sz w:val="24"/>
                <w:szCs w:val="24"/>
              </w:rPr>
              <w:t xml:space="preserve"> на 1 сотрудника: 60-40 при этажности 2-3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9"/>
        <w:gridCol w:w="2372"/>
        <w:gridCol w:w="2902"/>
        <w:gridCol w:w="2404"/>
      </w:tblGrid>
      <w:tr>
        <w:tc>
          <w:tcPr>
            <w:tcW w:type="dxa" w:w="24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Районные, областные и  городские суды, рабочее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Областные (краевые) суды, рабочее место </w:t>
            </w:r>
          </w:p>
          <w:p>
            <w:pPr>
              <w:jc w:val="both"/>
            </w:pPr>
            <w:r>
              <w:rPr>
                <w:rFonts w:ascii="Arial" w:cs="Arial" w:eastAsia="Arial" w:hAnsi="Arial"/>
                <w:sz w:val="24"/>
                <w:szCs w:val="24"/>
              </w:rPr>
              <w:t xml:space="preserve">Юридические консультации, рабочее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Нотариальная контора, рабочее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Жилищно-эксплуатационные организации, объект:  </w:t>
            </w:r>
          </w:p>
          <w:p>
            <w:pPr>
              <w:jc w:val="both"/>
            </w:pPr>
            <w:r>
              <w:rPr>
                <w:rFonts w:ascii="Arial" w:cs="Arial" w:eastAsia="Arial" w:hAnsi="Arial"/>
                <w:sz w:val="24"/>
                <w:szCs w:val="24"/>
              </w:rPr>
              <w:t xml:space="preserve">      микрорайона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жилого района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Пункт приема вторичного сырья,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Гостиницы,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Общественные уборные </w:t>
            </w:r>
          </w:p>
          <w:p>
            <w:pPr>
              <w:jc w:val="both"/>
            </w:pPr>
            <w:r>
              <w:rPr>
                <w:rFonts w:ascii="Arial" w:cs="Arial" w:eastAsia="Arial" w:hAnsi="Arial"/>
                <w:sz w:val="24"/>
                <w:szCs w:val="24"/>
              </w:rPr>
              <w:t xml:space="preserve">Бюро похоронного обслуживания</w:t>
            </w:r>
          </w:p>
        </w:tc>
        <w:tc>
          <w:tcPr>
            <w:tcW w:type="dxa" w:w="23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судья на 30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член суда на 60 тыс. чел.</w:t>
            </w:r>
          </w:p>
          <w:p>
            <w:pPr>
              <w:jc w:val="both"/>
            </w:pPr>
            <w:r>
              <w:rPr>
                <w:rFonts w:ascii="Arial" w:cs="Arial" w:eastAsia="Arial" w:hAnsi="Arial"/>
                <w:sz w:val="24"/>
                <w:szCs w:val="24"/>
              </w:rPr>
              <w:t xml:space="preserve">области </w:t>
            </w:r>
          </w:p>
          <w:p>
            <w:pPr>
              <w:jc w:val="both"/>
            </w:pPr>
            <w:r>
              <w:rPr>
                <w:rFonts w:ascii="Arial" w:cs="Arial" w:eastAsia="Arial" w:hAnsi="Arial"/>
                <w:sz w:val="24"/>
                <w:szCs w:val="24"/>
              </w:rPr>
              <w:t xml:space="preserve">1 юрист-адвокат на 10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нотариус на 30 тыс. чел.</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Учреждения жилищно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объект на микрорайон с населением до 20 тыс. чел. </w:t>
            </w:r>
          </w:p>
          <w:p>
            <w:pPr>
              <w:jc w:val="both"/>
            </w:pPr>
            <w:r>
              <w:rPr>
                <w:rFonts w:ascii="Arial" w:cs="Arial" w:eastAsia="Arial" w:hAnsi="Arial"/>
                <w:sz w:val="24"/>
                <w:szCs w:val="24"/>
              </w:rPr>
              <w:t xml:space="preserve">1 объект на жилой район с населением до 80 тыс. чел. </w:t>
            </w:r>
          </w:p>
          <w:p>
            <w:pPr>
              <w:jc w:val="both"/>
            </w:pPr>
            <w:r>
              <w:rPr>
                <w:rFonts w:ascii="Arial" w:cs="Arial" w:eastAsia="Arial" w:hAnsi="Arial"/>
                <w:sz w:val="24"/>
                <w:szCs w:val="24"/>
              </w:rPr>
              <w:t xml:space="preserve">1 объект на микрорайон с населением до 20 тыс. чел.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прибор на 1 тыс. чел</w:t>
            </w:r>
          </w:p>
          <w:p>
            <w:pPr>
              <w:jc w:val="both"/>
            </w:pPr>
            <w:r>
              <w:rPr>
                <w:rFonts w:ascii="Arial" w:cs="Arial" w:eastAsia="Arial" w:hAnsi="Arial"/>
                <w:sz w:val="24"/>
                <w:szCs w:val="24"/>
              </w:rPr>
              <w:t xml:space="preserve">1 объект на 0,5-1 млн. чел.</w:t>
            </w:r>
          </w:p>
        </w:tc>
        <w:tc>
          <w:tcPr>
            <w:tcW w:type="dxa" w:w="29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0,15 га на объект - при 1 судье</w:t>
            </w:r>
          </w:p>
          <w:p>
            <w:pPr>
              <w:jc w:val="both"/>
            </w:pPr>
            <w:r>
              <w:rPr>
                <w:rFonts w:ascii="Arial" w:cs="Arial" w:eastAsia="Arial" w:hAnsi="Arial"/>
                <w:sz w:val="24"/>
                <w:szCs w:val="24"/>
              </w:rPr>
              <w:t xml:space="preserve">0,4 га на объект - при 5 судьях</w:t>
            </w:r>
          </w:p>
          <w:p>
            <w:pPr>
              <w:jc w:val="both"/>
            </w:pPr>
            <w:r>
              <w:rPr>
                <w:rFonts w:ascii="Arial" w:cs="Arial" w:eastAsia="Arial" w:hAnsi="Arial"/>
                <w:sz w:val="24"/>
                <w:szCs w:val="24"/>
              </w:rPr>
              <w:t xml:space="preserve">0,3 га на объект - при 10 членах </w:t>
            </w:r>
          </w:p>
          <w:p>
            <w:pPr>
              <w:jc w:val="both"/>
            </w:pPr>
            <w:r>
              <w:rPr>
                <w:rFonts w:ascii="Arial" w:cs="Arial" w:eastAsia="Arial" w:hAnsi="Arial"/>
                <w:sz w:val="24"/>
                <w:szCs w:val="24"/>
              </w:rPr>
              <w:t xml:space="preserve">                                      суда</w:t>
            </w:r>
          </w:p>
          <w:p>
            <w:pPr>
              <w:jc w:val="both"/>
            </w:pPr>
            <w:r>
              <w:rPr>
                <w:rFonts w:ascii="Arial" w:cs="Arial" w:eastAsia="Arial" w:hAnsi="Arial"/>
                <w:sz w:val="24"/>
                <w:szCs w:val="24"/>
              </w:rPr>
              <w:t xml:space="preserve">0,5   га на объект - при 25 судьях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коммунального хозяйства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0,3 га на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га на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0,01 га на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числе мест гостиницы,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от 25      до 100-55</w:t>
            </w:r>
          </w:p>
          <w:p>
            <w:pPr>
              <w:jc w:val="both"/>
            </w:pPr>
            <w:r>
              <w:rPr>
                <w:rFonts w:ascii="Arial" w:cs="Arial" w:eastAsia="Arial" w:hAnsi="Arial"/>
                <w:sz w:val="24"/>
                <w:szCs w:val="24"/>
              </w:rPr>
              <w:t xml:space="preserve">от 100     до 500-30</w:t>
            </w:r>
          </w:p>
          <w:p>
            <w:pPr>
              <w:jc w:val="both"/>
            </w:pPr>
            <w:r>
              <w:rPr>
                <w:rFonts w:ascii="Arial" w:cs="Arial" w:eastAsia="Arial" w:hAnsi="Arial"/>
                <w:sz w:val="24"/>
                <w:szCs w:val="24"/>
              </w:rPr>
              <w:t xml:space="preserve">от 500     до 1000-20</w:t>
            </w:r>
          </w:p>
          <w:p>
            <w:pPr>
              <w:jc w:val="both"/>
            </w:pPr>
            <w:r>
              <w:rPr>
                <w:rFonts w:ascii="Arial" w:cs="Arial" w:eastAsia="Arial" w:hAnsi="Arial"/>
                <w:sz w:val="24"/>
                <w:szCs w:val="24"/>
              </w:rPr>
              <w:t xml:space="preserve">от 1000   до 2000-15</w:t>
            </w:r>
          </w:p>
        </w:tc>
        <w:tc>
          <w:tcPr>
            <w:tcW w:type="dxa" w:w="24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8"/>
        <w:gridCol w:w="2428"/>
        <w:gridCol w:w="2770"/>
        <w:gridCol w:w="2552"/>
      </w:tblGrid>
      <w:tr>
        <w:tc>
          <w:tcPr>
            <w:tcW w:type="dxa" w:w="24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4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Кладбище традиционного захоронения:</w:t>
            </w:r>
          </w:p>
          <w:p>
            <w:pPr>
              <w:jc w:val="both"/>
            </w:pPr>
            <w:r>
              <w:rPr>
                <w:rFonts w:ascii="Arial" w:cs="Arial" w:eastAsia="Arial" w:hAnsi="Arial"/>
                <w:sz w:val="24"/>
                <w:szCs w:val="24"/>
              </w:rPr>
              <w:t xml:space="preserve">а) мусульманские</w:t>
            </w:r>
          </w:p>
          <w:p>
            <w:pPr>
              <w:jc w:val="both"/>
            </w:pPr>
            <w:r>
              <w:rPr>
                <w:rFonts w:ascii="Arial" w:cs="Arial" w:eastAsia="Arial" w:hAnsi="Arial"/>
                <w:sz w:val="24"/>
                <w:szCs w:val="24"/>
              </w:rPr>
              <w:t xml:space="preserve">б) православные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Кладбище урновых захоронений после кремации</w:t>
            </w:r>
          </w:p>
        </w:tc>
        <w:tc>
          <w:tcPr>
            <w:tcW w:type="dxa" w:w="2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га на 1 тыс. чел.</w:t>
            </w:r>
          </w:p>
          <w:p>
            <w:pPr>
              <w:jc w:val="both"/>
            </w:pPr>
            <w:r>
              <w:rPr>
                <w:rFonts w:ascii="Arial" w:cs="Arial" w:eastAsia="Arial" w:hAnsi="Arial"/>
                <w:sz w:val="24"/>
                <w:szCs w:val="24"/>
              </w:rPr>
              <w:t xml:space="preserve">0,24 га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0,02 га на 1 тыс. чел.</w:t>
            </w:r>
          </w:p>
          <w:p>
            <w:pPr>
              <w:jc w:val="both"/>
            </w:pPr>
            <w:r>
              <w:rPr>
                <w:rFonts w:ascii="Arial" w:cs="Arial" w:eastAsia="Arial" w:hAnsi="Arial"/>
                <w:sz w:val="24"/>
                <w:szCs w:val="24"/>
              </w:rPr>
              <w:t xml:space="preserve"/>
            </w:r>
          </w:p>
        </w:tc>
        <w:tc>
          <w:tcPr>
            <w:tcW w:type="dxa" w:w="2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К населенным пунктам-новостройкам относятся существующие и вновь создаваемые городские пункты, численность населения которых с учетом строителей, занятых на сооружение объектов производственного и непроизводственного назначений, увеличивается на период ввода в эксплуатацию первого пускового комплекса в два и более раза.</w:t>
      </w:r>
    </w:p>
    <w:p>
      <w:pPr>
        <w:spacing w:after="120"/>
        <w:ind w:firstLine="397"/>
        <w:jc w:val="both"/>
      </w:pPr>
      <w:r>
        <w:rPr>
          <w:rFonts w:ascii="Arial" w:cs="Arial" w:eastAsia="Arial" w:hAnsi="Arial"/>
          <w:sz w:val="24"/>
          <w:szCs w:val="24"/>
        </w:rPr>
        <w:t xml:space="preserve">* При наполняемости классов 40 учащимися с учетом площади спортивной зоны и здания школы.</w:t>
      </w:r>
    </w:p>
    <w:p>
      <w:pPr>
        <w:spacing w:after="120"/>
        <w:ind w:firstLine="397"/>
        <w:jc w:val="both"/>
      </w:pPr>
      <w:r>
        <w:rPr>
          <w:rFonts w:ascii="Arial" w:cs="Arial" w:eastAsia="Arial" w:hAnsi="Arial"/>
          <w:sz w:val="24"/>
          <w:szCs w:val="24"/>
        </w:rPr>
        <w:t xml:space="preserve">** В городах межшкольные учебно-производственные комбинаты и внешкольные учреждения размещаются на селитебной территории с учетом транспортной доступности не более 30 мин. В сельских населенных пунктах размещение внешкольных учреждений рекомендуется предусматривать в зданиях общеобразовательных школ.</w:t>
      </w:r>
    </w:p>
    <w:p>
      <w:pPr>
        <w:spacing w:after="120"/>
        <w:ind w:firstLine="397"/>
        <w:jc w:val="both"/>
      </w:pPr>
      <w:r>
        <w:rPr>
          <w:rFonts w:ascii="Arial" w:cs="Arial" w:eastAsia="Arial" w:hAnsi="Arial"/>
          <w:sz w:val="24"/>
          <w:szCs w:val="24"/>
        </w:rPr>
        <w:t xml:space="preserve">*** Приведенные нормы не распространяются на научные, универсальные и специализированные библиотеки, вместимость которых определяется заданием на проектирование.</w:t>
      </w:r>
    </w:p>
    <w:p>
      <w:pPr>
        <w:spacing w:after="120"/>
        <w:ind w:firstLine="397"/>
        <w:jc w:val="both"/>
      </w:pPr>
      <w:r>
        <w:rPr>
          <w:rFonts w:ascii="Arial" w:cs="Arial" w:eastAsia="Arial" w:hAnsi="Arial"/>
          <w:sz w:val="24"/>
          <w:szCs w:val="24"/>
        </w:rPr>
        <w:t xml:space="preserve">     **** В скобках приведены нормы расчета предприятий местного значения, которые соответствуют организации систем обслуживания в микрорайоне и жилом районе.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Категории и параметры автомобильных дорог пригородных зон городов и систем расселения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4"/>
        <w:gridCol w:w="2417"/>
        <w:gridCol w:w="1425"/>
        <w:gridCol w:w="639"/>
        <w:gridCol w:w="756"/>
        <w:gridCol w:w="1022"/>
        <w:gridCol w:w="766"/>
      </w:tblGrid>
      <w:tr>
        <w:tc>
          <w:tcPr>
            <w:tcW w:type="dxa" w:w="31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Категории дорог</w:t>
            </w:r>
          </w:p>
        </w:tc>
        <w:tc>
          <w:tcPr>
            <w:tcW w:type="dxa" w:w="24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Расчетная скорость движения км/ч</w:t>
            </w:r>
          </w:p>
        </w:tc>
        <w:tc>
          <w:tcPr>
            <w:tcW w:type="dxa" w:w="14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по-лосы движе-ния, м</w:t>
            </w:r>
          </w:p>
        </w:tc>
        <w:tc>
          <w:tcPr>
            <w:tcW w:type="dxa" w:w="6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Число полос движе-ния</w:t>
            </w:r>
          </w:p>
        </w:tc>
        <w:tc>
          <w:tcPr>
            <w:tcW w:type="dxa" w:w="7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Наимень ший  радиус кривых в плане, м</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Наибольший продольный уклон,</w:t>
            </w:r>
          </w:p>
          <w:p>
            <w:pPr>
              <w:jc w:val="both"/>
            </w:pPr>
            <w:r>
              <w:rPr>
                <w:rFonts w:ascii="Arial" w:cs="Arial" w:eastAsia="Arial" w:hAnsi="Arial"/>
                <w:sz w:val="24"/>
                <w:szCs w:val="24"/>
              </w:rPr>
              <w:t xml:space="preserve">%</w:t>
            </w:r>
          </w:p>
        </w:tc>
        <w:tc>
          <w:tcPr>
            <w:tcW w:type="dxa" w:w="7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w:t>
            </w:r>
          </w:p>
          <w:p>
            <w:pPr>
              <w:jc w:val="both"/>
            </w:pPr>
            <w:r>
              <w:rPr>
                <w:rFonts w:ascii="Arial" w:cs="Arial" w:eastAsia="Arial" w:hAnsi="Arial"/>
                <w:sz w:val="24"/>
                <w:szCs w:val="24"/>
              </w:rPr>
              <w:t xml:space="preserve">шая ширина земляно-го полотна, м</w:t>
            </w:r>
          </w:p>
        </w:tc>
      </w:tr>
      <w:tr>
        <w:tc>
          <w:tcPr>
            <w:tcW w:type="dxa" w:w="3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скоростного движения основные секторальные</w:t>
            </w:r>
          </w:p>
          <w:p>
            <w:pPr>
              <w:jc w:val="both"/>
            </w:pPr>
            <w:r>
              <w:rPr>
                <w:rFonts w:ascii="Arial" w:cs="Arial" w:eastAsia="Arial" w:hAnsi="Arial"/>
                <w:sz w:val="24"/>
                <w:szCs w:val="24"/>
              </w:rPr>
              <w:t xml:space="preserve">непрерывного и</w:t>
            </w:r>
          </w:p>
          <w:p>
            <w:pPr>
              <w:jc w:val="both"/>
            </w:pPr>
            <w:r>
              <w:rPr>
                <w:rFonts w:ascii="Arial" w:cs="Arial" w:eastAsia="Arial" w:hAnsi="Arial"/>
                <w:sz w:val="24"/>
                <w:szCs w:val="24"/>
              </w:rPr>
              <w:t xml:space="preserve">регулируемого движения основные зональные</w:t>
            </w:r>
          </w:p>
          <w:p>
            <w:pPr>
              <w:jc w:val="both"/>
            </w:pPr>
            <w:r>
              <w:rPr>
                <w:rFonts w:ascii="Arial" w:cs="Arial" w:eastAsia="Arial" w:hAnsi="Arial"/>
                <w:sz w:val="24"/>
                <w:szCs w:val="24"/>
              </w:rPr>
              <w:t xml:space="preserve">непрерывного и</w:t>
            </w:r>
          </w:p>
          <w:p>
            <w:pPr>
              <w:jc w:val="both"/>
            </w:pPr>
            <w:r>
              <w:rPr>
                <w:rFonts w:ascii="Arial" w:cs="Arial" w:eastAsia="Arial" w:hAnsi="Arial"/>
                <w:sz w:val="24"/>
                <w:szCs w:val="24"/>
              </w:rPr>
              <w:t xml:space="preserve">регулируемого движения</w:t>
            </w:r>
          </w:p>
        </w:tc>
        <w:tc>
          <w:tcPr>
            <w:tcW w:type="dxa" w:w="2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tc>
        <w:tc>
          <w:tcPr>
            <w:tcW w:type="dxa" w:w="14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3,75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3,75</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400</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tc>
      </w:tr>
      <w:tr>
        <w:tc>
          <w:tcPr>
            <w:tcW w:type="dxa" w:w="3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Местного значения: грузового движения парковые</w:t>
            </w:r>
          </w:p>
        </w:tc>
        <w:tc>
          <w:tcPr>
            <w:tcW w:type="dxa" w:w="2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w:t>
            </w:r>
          </w:p>
          <w:p>
            <w:pPr>
              <w:jc w:val="both"/>
            </w:pPr>
            <w:r>
              <w:rPr>
                <w:rFonts w:ascii="Arial" w:cs="Arial" w:eastAsia="Arial" w:hAnsi="Arial"/>
                <w:sz w:val="24"/>
                <w:szCs w:val="24"/>
              </w:rPr>
              <w:t xml:space="preserve">50</w:t>
            </w:r>
          </w:p>
        </w:tc>
        <w:tc>
          <w:tcPr>
            <w:tcW w:type="dxa" w:w="14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w:t>
            </w:r>
          </w:p>
          <w:p>
            <w:pPr>
              <w:jc w:val="both"/>
            </w:pPr>
            <w:r>
              <w:rPr>
                <w:rFonts w:ascii="Arial" w:cs="Arial" w:eastAsia="Arial" w:hAnsi="Arial"/>
                <w:sz w:val="24"/>
                <w:szCs w:val="24"/>
              </w:rPr>
              <w:t xml:space="preserve">3,0</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 </w:t>
            </w:r>
          </w:p>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250 </w:t>
            </w:r>
          </w:p>
          <w:p>
            <w:pPr>
              <w:jc w:val="both"/>
            </w:pPr>
            <w:r>
              <w:rPr>
                <w:rFonts w:ascii="Arial" w:cs="Arial" w:eastAsia="Arial" w:hAnsi="Arial"/>
                <w:sz w:val="24"/>
                <w:szCs w:val="24"/>
              </w:rPr>
              <w:t xml:space="preserve">175</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 </w:t>
            </w:r>
          </w:p>
          <w:p>
            <w:pPr>
              <w:jc w:val="both"/>
            </w:pPr>
            <w:r>
              <w:rPr>
                <w:rFonts w:ascii="Arial" w:cs="Arial" w:eastAsia="Arial" w:hAnsi="Arial"/>
                <w:sz w:val="24"/>
                <w:szCs w:val="24"/>
              </w:rPr>
              <w:t xml:space="preserve">80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 </w:t>
            </w:r>
          </w:p>
          <w:p>
            <w:pPr>
              <w:jc w:val="both"/>
            </w:pPr>
            <w:r>
              <w:rPr>
                <w:rFonts w:ascii="Arial" w:cs="Arial" w:eastAsia="Arial" w:hAnsi="Arial"/>
                <w:sz w:val="24"/>
                <w:szCs w:val="24"/>
              </w:rPr>
              <w:t xml:space="preserve">15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В сложных топографических и природных условиях допускается снижать расчетную скорость движения до величины последующей категории дороги с соответствующей корректировкой параметров горизонтальных кривых и продольного уклона.</w:t>
      </w:r>
    </w:p>
    <w:p>
      <w:pPr>
        <w:spacing w:after="120"/>
        <w:ind w:firstLine="397"/>
        <w:jc w:val="both"/>
      </w:pPr>
      <w:r>
        <w:rPr>
          <w:rFonts w:ascii="Arial" w:cs="Arial" w:eastAsia="Arial" w:hAnsi="Arial"/>
          <w:sz w:val="24"/>
          <w:szCs w:val="24"/>
        </w:rPr>
        <w:t xml:space="preserve">2. При высокой неравномерности автомобильных потоков в часы «пик» по направлениям допускаются устройство обособленной центральной проезжей части для реверсивного движения легковых автомобилей и автобусов.</w:t>
      </w:r>
    </w:p>
    <w:p>
      <w:pPr>
        <w:spacing w:after="120"/>
        <w:ind w:firstLine="397"/>
        <w:jc w:val="both"/>
      </w:pPr>
      <w:r>
        <w:rPr>
          <w:rFonts w:ascii="Arial" w:cs="Arial" w:eastAsia="Arial" w:hAnsi="Arial"/>
          <w:sz w:val="24"/>
          <w:szCs w:val="24"/>
        </w:rPr>
        <w:t xml:space="preserve">3. На магистральных дорогах с преимущественным движением грузовых автомобилей следует увеличивать ширину полосы движения до 4 м, а при доле большегрузных автомобилей в транспортном потоке более 20% до 4,5 м.</w:t>
      </w:r>
    </w:p>
    <w:p>
      <w:pPr>
        <w:spacing w:after="120"/>
        <w:jc w:val="right"/>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расчета стоянок автомобилей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1242"/>
        <w:gridCol w:w="1242"/>
        <w:gridCol w:w="1242"/>
        <w:gridCol w:w="1116"/>
        <w:gridCol w:w="1116"/>
        <w:gridCol w:w="1116"/>
        <w:gridCol w:w="2351"/>
      </w:tblGrid>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п/п</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Объекты посещения</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Расчетные единицы</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Предусматривается 1 машино-место на следующее количество расчетных единиц</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w:t>
            </w:r>
          </w:p>
        </w:tc>
      </w:tr>
      <w:tr>
        <w:tc>
          <w:tcPr>
            <w:tcW w:type="dxa" w:w="10178"/>
            <w:gridSpan w:val="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 Объекты административно-делового назначения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Учреждения органов государственной власти</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200-220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1.2.</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Административно-управленческие учреждения, здания и помещения общественных организаций</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130-150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1.3.</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Коммерческо-деловые центры, офисные здания и помещения</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70-80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1.4.</w:t>
            </w:r>
          </w:p>
        </w:tc>
        <w:tc>
          <w:tcPr>
            <w:tcW w:type="dxa" w:w="9425"/>
            <w:gridSpan w:val="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Банки и банковские учреждения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1.4.1.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 с операционными залами</w:t>
            </w:r>
          </w:p>
        </w:tc>
        <w:tc>
          <w:tcPr>
            <w:tcW w:type="dxa" w:w="3348"/>
            <w:gridSpan w:val="3"/>
            <w:vMerge w:val="restart"/>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35-40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1.4.2</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 без операционных залов</w:t>
            </w:r>
          </w:p>
        </w:tc>
        <w:tc>
          <w:tcPr>
            <w:gridSpan w:val="3"/>
            <w:vMerge w:val="continue"/>
            <w:tcBorders>
              <w:top w:val="none" w:color="auto" w:sz="0"/>
              <w:left w:val="none" w:color="auto" w:sz="0"/>
              <w:bottom w:val="none" w:color="auto" w:sz="0"/>
              <w:right w:val="none" w:color="auto" w:sz="0"/>
            </w:tcBorders>
          </w:tcP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65-70</w:t>
            </w:r>
          </w:p>
        </w:tc>
      </w:tr>
      <w:tr>
        <w:tc>
          <w:tcPr>
            <w:tcW w:type="dxa" w:w="10178"/>
            <w:gridSpan w:val="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 Объекты науки и учебно-образовательного назначения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Научно-исследовательские и проектные институты</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180-200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2.2.</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Высшие учебные заведения</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преподаватели, сотруд-ники, сту-денты, заня-тые в одну смену</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3-5 препод. и сотруд. + 1 машино-место на 20 студентов</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2.3.</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Средние учебные заведения, колледжи, специальные и частные школы, школы искусств и музыкальные школы городского значения</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преподаватели,  занятые в одну смену</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3-4</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2.4.</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Центры обучения, самодеятельного творчества, клубы по интересам</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30-35</w:t>
            </w:r>
          </w:p>
        </w:tc>
      </w:tr>
      <w:tr>
        <w:tc>
          <w:tcPr>
            <w:tcW w:type="dxa" w:w="10178"/>
            <w:gridSpan w:val="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 Объекты промышленно-производственного назначения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Производственные здания и коммунально-складские объекты</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работающие в двух смежных сменах, чел.</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10-12</w:t>
            </w:r>
          </w:p>
        </w:tc>
      </w:tr>
      <w:tr>
        <w:tc>
          <w:tcPr>
            <w:tcW w:type="dxa" w:w="10178"/>
            <w:gridSpan w:val="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4. Объекты торгово-бытового и коммунального назначения</w:t>
            </w:r>
          </w:p>
        </w:tc>
      </w:tr>
      <w:tr>
        <w:tc>
          <w:tcPr>
            <w:tcW w:type="dxa" w:w="7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4.1.</w:t>
            </w:r>
          </w:p>
        </w:tc>
        <w:tc>
          <w:tcPr>
            <w:tcW w:type="dxa" w:w="2484"/>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Магазины-склады (мелкооптовой и розничной торговли, гипермаркеты)</w:t>
            </w:r>
          </w:p>
        </w:tc>
        <w:tc>
          <w:tcPr>
            <w:tcW w:type="dxa" w:w="4590"/>
            <w:gridSpan w:val="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30-35</w:t>
            </w:r>
          </w:p>
        </w:tc>
      </w:tr>
      <w:tr>
        <w:tc>
          <w:tcPr>
            <w:tcW w:type="dxa" w:w="7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4.2.</w:t>
            </w:r>
          </w:p>
        </w:tc>
        <w:tc>
          <w:tcPr>
            <w:tcW w:type="dxa" w:w="2484"/>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type="dxa" w:w="4590"/>
            <w:gridSpan w:val="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70-80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90-100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4.4.</w:t>
            </w:r>
          </w:p>
        </w:tc>
        <w:tc>
          <w:tcPr>
            <w:tcW w:type="dxa" w:w="9425"/>
            <w:gridSpan w:val="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Рынки постоянные </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4.4.1.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Универсальные и непродовольственные</w:t>
            </w:r>
          </w:p>
        </w:tc>
        <w:tc>
          <w:tcPr>
            <w:tcW w:type="dxa" w:w="4590"/>
            <w:gridSpan w:val="4"/>
            <w:vMerge w:val="restart"/>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30-40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4.4.2.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Продовольственные и сельскохозяйственные</w:t>
            </w:r>
          </w:p>
        </w:tc>
        <w:tc>
          <w:tcPr>
            <w:gridSpan w:val="4"/>
            <w:vMerge w:val="continue"/>
            <w:tcBorders>
              <w:top w:val="none" w:color="auto" w:sz="0"/>
              <w:left w:val="none" w:color="auto" w:sz="0"/>
              <w:bottom w:val="none" w:color="auto" w:sz="0"/>
              <w:right w:val="none" w:color="auto" w:sz="0"/>
            </w:tcBorders>
          </w:tcP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60-70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4.5.</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Рестораны, кафе городского значения</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посадочных мест</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6-8</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w:t>
            </w:r>
          </w:p>
        </w:tc>
        <w:tc>
          <w:tcPr>
            <w:tcW w:type="dxa" w:w="9425"/>
            <w:gridSpan w:val="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Объекты коммунально-бытового обслуживания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Бани</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7-10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Ателье, фотосалоны городского значения, салоны-парикмахерские, салоны красоты, солярии, салоны моды, свадебные салоны</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20-25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Салоны ритуальных услуг</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25-30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4.6.4.</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Химчистки, прачечные, ремонтные мастерские, специализированные центры по обслуживанию сложной бытовой техники и др.</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рабочее место приемщика</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1-2</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4.7.</w:t>
            </w:r>
          </w:p>
        </w:tc>
        <w:tc>
          <w:tcPr>
            <w:tcW w:type="dxa" w:w="9425"/>
            <w:gridSpan w:val="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Гостиницы</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4.7.1.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Высшей категории (4-5*)</w:t>
            </w:r>
          </w:p>
        </w:tc>
        <w:tc>
          <w:tcPr>
            <w:tcW w:type="dxa" w:w="3474"/>
            <w:gridSpan w:val="3"/>
            <w:vMerge w:val="restart"/>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номер</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3-4</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4.7.2.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Другие</w:t>
            </w:r>
          </w:p>
        </w:tc>
        <w:tc>
          <w:tcPr>
            <w:gridSpan w:val="3"/>
            <w:vMerge w:val="continue"/>
            <w:tcBorders>
              <w:top w:val="none" w:color="auto" w:sz="0"/>
              <w:left w:val="none" w:color="auto" w:sz="0"/>
              <w:bottom w:val="none" w:color="auto" w:sz="0"/>
              <w:right w:val="none" w:color="auto" w:sz="0"/>
            </w:tcBorders>
          </w:tcP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6-8</w:t>
            </w:r>
          </w:p>
        </w:tc>
      </w:tr>
      <w:tr>
        <w:tc>
          <w:tcPr>
            <w:tcW w:type="dxa" w:w="10178"/>
            <w:gridSpan w:val="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 Объекты культуры и досуга.</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Выставочно-музейные комплексы, музеи-заповедники, музеи, галереи, выставочные залы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посетители</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8-10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Театры и концертные залы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зрительные места</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25-30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Киноцентры и кинотеатры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зрительные места</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25-35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5.4.</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Городские библиотеки, интернет-кафе</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посадочные места</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10-12</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5.5.</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Объекты религиозных конфессий (церкви, костелы, мечети, синагоги и другие)</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посетители</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10-12, но не менее 10 м/мест на объект</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5.6.</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Развлекательные центры, дискотеки, залы игровых автоматов, ночные клубы, казино</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посетители</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8-10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5.7.</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Бильярдные, кегельбаны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посетители</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5-6</w:t>
            </w:r>
          </w:p>
        </w:tc>
      </w:tr>
      <w:tr>
        <w:tc>
          <w:tcPr>
            <w:tcW w:type="dxa" w:w="10178"/>
            <w:gridSpan w:val="8"/>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6. Лечебные учреждения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Специализированные поликлиники</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посещений в смену</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90-110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Многопрофильные консультационно-диагностические центры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посещений в смену</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55-65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Больницы, профилактории</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койко-места</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20-25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6.4.</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Специализированные клиники, реабилитационные центры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койко-места</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10-15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6.5.</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Интернаты и пансионаты для престарелых и инвалидов</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койко-места</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н.р.</w:t>
            </w:r>
          </w:p>
        </w:tc>
      </w:tr>
      <w:tr>
        <w:tc>
          <w:tcPr>
            <w:tcW w:type="dxa" w:w="10178"/>
            <w:gridSpan w:val="8"/>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7. Спортивно-оздоровительные объекты</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7.1.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Спортивные комплексы и стадионы с трибунами</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мест на трибунах</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25-30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7.2.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Оздоровительные комплексы (фитнесс-клубы, ФОК, спортивные и тренажерные залы)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кв.м. общей площади</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35-45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7.3.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Специализированные спортивные клубы и комплексы (теннис, конный спорт, горнолыжные центры и др.)</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единоврем. посетители</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4-6</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7.4.</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Аквапарки, бассейны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единоврем. посетители</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8-10</w:t>
            </w:r>
          </w:p>
        </w:tc>
      </w:tr>
      <w:tr>
        <w:tc>
          <w:tcPr>
            <w:tcW w:type="dxa" w:w="10178"/>
            <w:gridSpan w:val="8"/>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8. Объекты транспортного обслуживания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8.1.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Железнодорожные вокзалы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пассажиров дальнего следования в час "пик"</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8-10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8.2.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Автовокзалы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пассажиров  в час "пик"</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10-15</w:t>
            </w:r>
          </w:p>
        </w:tc>
      </w:tr>
      <w:tr>
        <w:tc>
          <w:tcPr>
            <w:tcW w:type="dxa" w:w="1995"/>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8.3.</w:t>
            </w:r>
          </w:p>
        </w:tc>
        <w:tc>
          <w:tcPr>
            <w:tcW w:type="dxa" w:w="124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Аэровокзалы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пассажиров  в час "пик"</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6-8</w:t>
            </w:r>
          </w:p>
        </w:tc>
      </w:tr>
      <w:tr>
        <w:tc>
          <w:tcPr>
            <w:tcW w:type="dxa" w:w="7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Количество машино-мест обусловлены необходимостью разгрузки центра города от автотранспорта и ориентацией на преимущественное использование массового пассажирского транспорта при поездках в центральную зону города.</w:t>
      </w:r>
    </w:p>
    <w:p>
      <w:pPr>
        <w:spacing w:after="120"/>
        <w:ind w:firstLine="397"/>
        <w:jc w:val="both"/>
      </w:pPr>
      <w:r>
        <w:rPr>
          <w:rFonts w:ascii="Arial" w:cs="Arial" w:eastAsia="Arial" w:hAnsi="Arial"/>
          <w:sz w:val="24"/>
          <w:szCs w:val="24"/>
        </w:rPr>
        <w:t xml:space="preserve">2. Нормативные показатели включают требуемое количество машино-мест для работающих и посетителей; без учета машино-мест для автомобилей, обслуживающих технологические нужды объекта (стоянка автомобиля, связанная с погрузкой, выгрузкой грузов, обеспечивающих функционирование объекта и др.), а также для туристических автобусов.</w:t>
      </w:r>
    </w:p>
    <w:p>
      <w:pPr>
        <w:spacing w:after="120"/>
        <w:ind w:firstLine="397"/>
        <w:jc w:val="both"/>
      </w:pPr>
      <w:r>
        <w:rPr>
          <w:rFonts w:ascii="Arial" w:cs="Arial" w:eastAsia="Arial" w:hAnsi="Arial"/>
          <w:sz w:val="24"/>
          <w:szCs w:val="24"/>
        </w:rPr>
        <w:t xml:space="preserve">3. В сохраняемой застройке при размерах общей площади объектов торговли от 400 до 800 кв.м. полученное расчетом количество машино-мест допускается снизить в 2 раза, при размерах общей площади менее 400 кв.м. стоянки допускается не предусматривать. При новом строительстве места для паркирования легковых автомобилей следует организовать при любых размерах торговой площади и размещать их в пределах отведенного участка.</w:t>
      </w:r>
    </w:p>
    <w:p>
      <w:pPr>
        <w:spacing w:after="120"/>
        <w:ind w:firstLine="397"/>
        <w:jc w:val="both"/>
      </w:pPr>
      <w:r>
        <w:rPr>
          <w:rFonts w:ascii="Arial" w:cs="Arial" w:eastAsia="Arial" w:hAnsi="Arial"/>
          <w:sz w:val="24"/>
          <w:szCs w:val="24"/>
        </w:rPr>
        <w:t xml:space="preserve">4. Общая площадь объекта включает суммарную поэтажную площадь здания, определенная в пределах внутренних поверхностей наружных стен, в том числе площадь антресолей, переходов в другие здания, остекленных веранд, галерей и балконов, зрительных залов. Площадь многосветных помещений включается в общую площадь здания в пределах одного этажа.</w:t>
      </w:r>
    </w:p>
    <w:p>
      <w:pPr>
        <w:spacing w:after="120"/>
        <w:ind w:firstLine="397"/>
        <w:jc w:val="both"/>
      </w:pPr>
      <w:r>
        <w:rPr>
          <w:rFonts w:ascii="Arial" w:cs="Arial" w:eastAsia="Arial" w:hAnsi="Arial"/>
          <w:sz w:val="24"/>
          <w:szCs w:val="24"/>
        </w:rPr>
        <w:t xml:space="preserve">5. Для зданий с помещениями различного функционального назначения требуемое количество машино-мест следует определять раздельно для каждого вида помещений, а затем суммировать.</w:t>
      </w:r>
    </w:p>
    <w:p>
      <w:pPr>
        <w:spacing w:after="120"/>
        <w:ind w:firstLine="397"/>
        <w:jc w:val="both"/>
      </w:pPr>
      <w:r>
        <w:rPr>
          <w:rFonts w:ascii="Arial" w:cs="Arial" w:eastAsia="Arial" w:hAnsi="Arial"/>
          <w:sz w:val="24"/>
          <w:szCs w:val="24"/>
        </w:rPr>
        <w:t xml:space="preserve">6. Расчет машино-мест для объектов религиозных конфессий следует производить для максимального по числу посетителей дня недели, но без учета дней основных (главных) религиозных праздников.</w:t>
      </w:r>
    </w:p>
    <w:p>
      <w:pPr>
        <w:spacing w:after="120"/>
        <w:ind w:firstLine="397"/>
        <w:jc w:val="both"/>
      </w:pPr>
      <w:r>
        <w:rPr>
          <w:rFonts w:ascii="Arial" w:cs="Arial" w:eastAsia="Arial" w:hAnsi="Arial"/>
          <w:sz w:val="24"/>
          <w:szCs w:val="24"/>
        </w:rPr>
        <w:t xml:space="preserve">7. Размещение мест для паркования автомобилей посетителей городских и пригородных парков следует производить в соответствии с требованиями раздела 7. Ландшафтно-рекреационная территория.</w:t>
      </w:r>
    </w:p>
    <w:p>
      <w:pPr>
        <w:spacing w:after="120"/>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земельных участков и парков транспортных средств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5"/>
        <w:gridCol w:w="1808"/>
        <w:gridCol w:w="1808"/>
        <w:gridCol w:w="2577"/>
      </w:tblGrid>
      <w:tr>
        <w:tc>
          <w:tcPr>
            <w:tcW w:type="dxa" w:w="39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w:t>
            </w:r>
          </w:p>
          <w:p>
            <w:pPr>
              <w:jc w:val="both"/>
            </w:pPr>
            <w:r>
              <w:rPr>
                <w:rFonts w:ascii="Arial" w:cs="Arial" w:eastAsia="Arial" w:hAnsi="Arial"/>
                <w:sz w:val="24"/>
                <w:szCs w:val="24"/>
              </w:rPr>
              <w:t xml:space="preserve"/>
            </w:r>
          </w:p>
        </w:tc>
        <w:tc>
          <w:tcPr>
            <w:tcW w:type="dxa" w:w="1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Расчетная единица</w:t>
            </w:r>
          </w:p>
        </w:tc>
        <w:tc>
          <w:tcPr>
            <w:tcW w:type="dxa" w:w="1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 объекта</w:t>
            </w:r>
          </w:p>
        </w:tc>
        <w:tc>
          <w:tcPr>
            <w:tcW w:type="dxa" w:w="25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участка на объект, га</w:t>
            </w:r>
          </w:p>
        </w:tc>
      </w:tr>
      <w:tr>
        <w:tc>
          <w:tcPr>
            <w:tcW w:type="dxa" w:w="3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Многоэтажные гаражи для легковых таксомоторов и базы проката легковых автомобилей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Гаражи грузовых автомобилей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Троллейбусные парки без ремонтных мастерских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То же, с ремонтными мастерскими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Автобусные парки (гаражи)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Таксомотор,</w:t>
            </w:r>
          </w:p>
          <w:p>
            <w:pPr>
              <w:jc w:val="both"/>
            </w:pPr>
            <w:r>
              <w:rPr>
                <w:rFonts w:ascii="Arial" w:cs="Arial" w:eastAsia="Arial" w:hAnsi="Arial"/>
                <w:sz w:val="24"/>
                <w:szCs w:val="24"/>
              </w:rPr>
              <w:t xml:space="preserve">автомобиль</w:t>
            </w:r>
          </w:p>
          <w:p>
            <w:pPr>
              <w:jc w:val="both"/>
            </w:pPr>
            <w:r>
              <w:rPr>
                <w:rFonts w:ascii="Arial" w:cs="Arial" w:eastAsia="Arial" w:hAnsi="Arial"/>
                <w:sz w:val="24"/>
                <w:szCs w:val="24"/>
              </w:rPr>
              <w:t xml:space="preserve">проката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Автомобили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Машина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Машина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Машина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800</w:t>
            </w:r>
          </w:p>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500</w:t>
            </w:r>
          </w:p>
        </w:tc>
        <w:tc>
          <w:tcPr>
            <w:tcW w:type="dxa" w:w="2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p>
            <w:pPr>
              <w:jc w:val="both"/>
            </w:pPr>
            <w:r>
              <w:rPr>
                <w:rFonts w:ascii="Arial" w:cs="Arial" w:eastAsia="Arial" w:hAnsi="Arial"/>
                <w:sz w:val="24"/>
                <w:szCs w:val="24"/>
              </w:rPr>
              <w:t xml:space="preserve">1,2</w:t>
            </w:r>
          </w:p>
          <w:p>
            <w:pPr>
              <w:jc w:val="both"/>
            </w:pPr>
            <w:r>
              <w:rPr>
                <w:rFonts w:ascii="Arial" w:cs="Arial" w:eastAsia="Arial" w:hAnsi="Arial"/>
                <w:sz w:val="24"/>
                <w:szCs w:val="24"/>
              </w:rPr>
              <w:t xml:space="preserve">1,6</w:t>
            </w:r>
          </w:p>
          <w:p>
            <w:pPr>
              <w:jc w:val="both"/>
            </w:pPr>
            <w:r>
              <w:rPr>
                <w:rFonts w:ascii="Arial" w:cs="Arial" w:eastAsia="Arial" w:hAnsi="Arial"/>
                <w:sz w:val="24"/>
                <w:szCs w:val="24"/>
              </w:rPr>
              <w:t xml:space="preserve">2,1</w:t>
            </w:r>
          </w:p>
          <w:p>
            <w:pPr>
              <w:jc w:val="both"/>
            </w:pPr>
            <w:r>
              <w:rPr>
                <w:rFonts w:ascii="Arial" w:cs="Arial" w:eastAsia="Arial" w:hAnsi="Arial"/>
                <w:sz w:val="24"/>
                <w:szCs w:val="24"/>
              </w:rPr>
              <w:t xml:space="preserve">2,3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3,5</w:t>
            </w:r>
          </w:p>
          <w:p>
            <w:pPr>
              <w:jc w:val="both"/>
            </w:pPr>
            <w:r>
              <w:rPr>
                <w:rFonts w:ascii="Arial" w:cs="Arial" w:eastAsia="Arial" w:hAnsi="Arial"/>
                <w:sz w:val="24"/>
                <w:szCs w:val="24"/>
              </w:rPr>
              <w:t xml:space="preserve">4,5</w:t>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w:t>
            </w:r>
          </w:p>
          <w:p>
            <w:pPr>
              <w:jc w:val="both"/>
            </w:pPr>
            <w:r>
              <w:rPr>
                <w:rFonts w:ascii="Arial" w:cs="Arial" w:eastAsia="Arial" w:hAnsi="Arial"/>
                <w:sz w:val="24"/>
                <w:szCs w:val="24"/>
              </w:rPr>
              <w:t xml:space="preserve">6,0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3,5</w:t>
            </w:r>
          </w:p>
          <w:p>
            <w:pPr>
              <w:jc w:val="both"/>
            </w:pPr>
            <w:r>
              <w:rPr>
                <w:rFonts w:ascii="Arial" w:cs="Arial" w:eastAsia="Arial" w:hAnsi="Arial"/>
                <w:sz w:val="24"/>
                <w:szCs w:val="24"/>
              </w:rPr>
              <w:t xml:space="preserve">4,5</w:t>
            </w:r>
          </w:p>
          <w:p>
            <w:pPr>
              <w:jc w:val="both"/>
            </w:pPr>
            <w:r>
              <w:rPr>
                <w:rFonts w:ascii="Arial" w:cs="Arial" w:eastAsia="Arial" w:hAnsi="Arial"/>
                <w:sz w:val="24"/>
                <w:szCs w:val="24"/>
              </w:rPr>
              <w:t xml:space="preserve">6,5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Для условий реконструкции размеры земельных участков при соответствующем обосновании допускается уменьшать, но не более чем на 20%.</w:t>
      </w:r>
    </w:p>
    <w:p>
      <w:pPr>
        <w:spacing w:after="120"/>
        <w:jc w:val="right"/>
      </w:pPr>
      <w:r>
        <w:rPr>
          <w:rFonts w:ascii="Arial" w:cs="Arial" w:eastAsia="Arial" w:hAnsi="Arial"/>
          <w:sz w:val="24"/>
          <w:szCs w:val="24"/>
        </w:rPr>
        <w:t xml:space="preserve">Приложение 10</w:t>
      </w:r>
    </w:p>
    <w:p>
      <w:pPr>
        <w:spacing w:after="240" w:before="200"/>
        <w:jc w:val="center"/>
      </w:pPr>
      <w:r>
        <w:rPr>
          <w:rFonts w:ascii="Arial" w:cs="Arial" w:eastAsia="Arial" w:hAnsi="Arial"/>
          <w:b/>
          <w:bCs/>
          <w:sz w:val="32"/>
          <w:szCs w:val="32"/>
        </w:rPr>
        <w:t xml:space="preserve">Нормы накопления бытовых отходов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9"/>
        <w:gridCol w:w="2934"/>
        <w:gridCol w:w="2934"/>
      </w:tblGrid>
      <w:tr>
        <w:tc>
          <w:tcPr>
            <w:tcW w:type="dxa" w:w="430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Бытовые отходы</w:t>
            </w:r>
          </w:p>
        </w:tc>
        <w:tc>
          <w:tcPr>
            <w:tcW w:type="dxa" w:w="58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бытовых отходов на 1 чел. в год</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кг</w:t>
            </w:r>
          </w:p>
        </w:tc>
        <w:tc>
          <w:tcPr>
            <w:tcW w:type="dxa" w:w="29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л</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Твердые </w:t>
            </w:r>
          </w:p>
          <w:p>
            <w:pPr>
              <w:jc w:val="both"/>
            </w:pPr>
            <w:r>
              <w:rPr>
                <w:rFonts w:ascii="Arial" w:cs="Arial" w:eastAsia="Arial" w:hAnsi="Arial"/>
                <w:sz w:val="24"/>
                <w:szCs w:val="24"/>
              </w:rPr>
              <w:t xml:space="preserve">от жилых зданий, оборудованных водопроводом, канализацией, центральным отоплением и газом от прочих жилых зданий</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190-225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300-450</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900-1000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1100-1500</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Общее количество по городу с учетом общественных зданий</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280-300</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1400-1500</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Жидкие из выгребов (при отсутствии канализации)</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2000-3500</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Смет с 1 м</w:t>
            </w:r>
            <w:r>
              <w:rPr>
                <w:rFonts w:ascii="Arial" w:cs="Arial" w:eastAsia="Arial" w:hAnsi="Arial"/>
                <w:sz w:val="24"/>
                <w:szCs w:val="24"/>
              </w:rPr>
              <w:t xml:space="preserve">2</w:t>
            </w:r>
            <w:r>
              <w:rPr>
                <w:rFonts w:ascii="Arial" w:cs="Arial" w:eastAsia="Arial" w:hAnsi="Arial"/>
                <w:sz w:val="24"/>
                <w:szCs w:val="24"/>
              </w:rPr>
              <w:t xml:space="preserve"> твердых покрытий улиц, площадей парков</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5-15</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8-20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Большие значения норм накопления отходов следует принимать для крупнейших и крупных городов.</w:t>
      </w:r>
    </w:p>
    <w:p>
      <w:pPr>
        <w:spacing w:after="120"/>
        <w:ind w:firstLine="397"/>
        <w:jc w:val="both"/>
      </w:pPr>
      <w:r>
        <w:rPr>
          <w:rFonts w:ascii="Arial" w:cs="Arial" w:eastAsia="Arial" w:hAnsi="Arial"/>
          <w:sz w:val="24"/>
          <w:szCs w:val="24"/>
        </w:rPr>
        <w:t xml:space="preserve">2. Для городов III и IV климатических районов норму накопления бытовых отходов в год следует увеличивать на 10%.</w:t>
      </w:r>
    </w:p>
    <w:p>
      <w:pPr>
        <w:spacing w:after="120"/>
        <w:ind w:firstLine="397"/>
        <w:jc w:val="both"/>
      </w:pPr>
      <w:r>
        <w:rPr>
          <w:rFonts w:ascii="Arial" w:cs="Arial" w:eastAsia="Arial" w:hAnsi="Arial"/>
          <w:sz w:val="24"/>
          <w:szCs w:val="24"/>
        </w:rPr>
        <w:t xml:space="preserve">3. Нормы накопления твердых отходов в климатических подрайонах IA,  IГ при местном отоплении следует увеличивать на 10%, при использовании бурого угля - на 50%.</w:t>
      </w:r>
    </w:p>
    <w:p>
      <w:pPr>
        <w:spacing w:after="120"/>
        <w:ind w:firstLine="397"/>
        <w:jc w:val="both"/>
      </w:pPr>
      <w:r>
        <w:rPr>
          <w:rFonts w:ascii="Arial" w:cs="Arial" w:eastAsia="Arial" w:hAnsi="Arial"/>
          <w:sz w:val="24"/>
          <w:szCs w:val="24"/>
        </w:rPr>
        <w:t xml:space="preserve">1. Нормы накопления крупногабаритных бытовых отходов следует принимать в размере 5% в составе приведенных значений твердых бытовых отходов.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Укрупненные показатели электропотребления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9"/>
        <w:gridCol w:w="3873"/>
        <w:gridCol w:w="2276"/>
      </w:tblGrid>
      <w:tr>
        <w:tc>
          <w:tcPr>
            <w:tcW w:type="dxa" w:w="40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Степень благоустройства населенных пунктов</w:t>
            </w:r>
          </w:p>
        </w:tc>
        <w:tc>
          <w:tcPr>
            <w:tcW w:type="dxa" w:w="3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Электропотребление, кВтхч/ год на 1 чел.</w:t>
            </w:r>
          </w:p>
        </w:tc>
        <w:tc>
          <w:tcPr>
            <w:tcW w:type="dxa" w:w="22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Использование максимума электрической нагрузки, ч/год</w:t>
            </w:r>
          </w:p>
        </w:tc>
      </w:tr>
      <w:tr>
        <w:tc>
          <w:tcPr>
            <w:tcW w:type="dxa" w:w="40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Города, не оборудованные стационарными электроплитами: без кондиционеров </w:t>
            </w:r>
          </w:p>
          <w:p>
            <w:pPr>
              <w:jc w:val="both"/>
            </w:pPr>
            <w:r>
              <w:rPr>
                <w:rFonts w:ascii="Arial" w:cs="Arial" w:eastAsia="Arial" w:hAnsi="Arial"/>
                <w:sz w:val="24"/>
                <w:szCs w:val="24"/>
              </w:rPr>
              <w:t xml:space="preserve">с кондиционерами</w:t>
            </w:r>
          </w:p>
        </w:tc>
        <w:tc>
          <w:tcPr>
            <w:tcW w:type="dxa" w:w="3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1700</w:t>
            </w:r>
          </w:p>
          <w:p>
            <w:pPr>
              <w:jc w:val="both"/>
            </w:pPr>
            <w:r>
              <w:rPr>
                <w:rFonts w:ascii="Arial" w:cs="Arial" w:eastAsia="Arial" w:hAnsi="Arial"/>
                <w:sz w:val="24"/>
                <w:szCs w:val="24"/>
              </w:rPr>
              <w:t xml:space="preserve">2000</w:t>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5200</w:t>
            </w:r>
          </w:p>
          <w:p>
            <w:pPr>
              <w:jc w:val="both"/>
            </w:pPr>
            <w:r>
              <w:rPr>
                <w:rFonts w:ascii="Arial" w:cs="Arial" w:eastAsia="Arial" w:hAnsi="Arial"/>
                <w:sz w:val="24"/>
                <w:szCs w:val="24"/>
              </w:rPr>
              <w:t xml:space="preserve">5700</w:t>
            </w:r>
          </w:p>
        </w:tc>
      </w:tr>
      <w:tr>
        <w:tc>
          <w:tcPr>
            <w:tcW w:type="dxa" w:w="40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Города, оборудованные стационарными электроплитами (100%): без кондиционеров </w:t>
            </w:r>
          </w:p>
          <w:p>
            <w:pPr>
              <w:jc w:val="both"/>
            </w:pPr>
            <w:r>
              <w:rPr>
                <w:rFonts w:ascii="Arial" w:cs="Arial" w:eastAsia="Arial" w:hAnsi="Arial"/>
                <w:sz w:val="24"/>
                <w:szCs w:val="24"/>
              </w:rPr>
              <w:t xml:space="preserve">с кондиционерами</w:t>
            </w:r>
          </w:p>
        </w:tc>
        <w:tc>
          <w:tcPr>
            <w:tcW w:type="dxa" w:w="3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2100</w:t>
            </w:r>
          </w:p>
          <w:p>
            <w:pPr>
              <w:jc w:val="both"/>
            </w:pPr>
            <w:r>
              <w:rPr>
                <w:rFonts w:ascii="Arial" w:cs="Arial" w:eastAsia="Arial" w:hAnsi="Arial"/>
                <w:sz w:val="24"/>
                <w:szCs w:val="24"/>
              </w:rPr>
              <w:t xml:space="preserve">2400</w:t>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5300</w:t>
            </w:r>
          </w:p>
          <w:p>
            <w:pPr>
              <w:jc w:val="both"/>
            </w:pPr>
            <w:r>
              <w:rPr>
                <w:rFonts w:ascii="Arial" w:cs="Arial" w:eastAsia="Arial" w:hAnsi="Arial"/>
                <w:sz w:val="24"/>
                <w:szCs w:val="24"/>
              </w:rPr>
              <w:t xml:space="preserve">5800</w:t>
            </w:r>
          </w:p>
        </w:tc>
      </w:tr>
      <w:tr>
        <w:tc>
          <w:tcPr>
            <w:tcW w:type="dxa" w:w="40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Поселки и сельские населенные пункты (без кондиционеров): </w:t>
            </w:r>
          </w:p>
          <w:p>
            <w:pPr>
              <w:jc w:val="both"/>
            </w:pPr>
            <w:r>
              <w:rPr>
                <w:rFonts w:ascii="Arial" w:cs="Arial" w:eastAsia="Arial" w:hAnsi="Arial"/>
                <w:sz w:val="24"/>
                <w:szCs w:val="24"/>
              </w:rPr>
              <w:t xml:space="preserve">не оборудованные стационарными электроплитами оборудованные стационарными электроплитами</w:t>
            </w:r>
          </w:p>
        </w:tc>
        <w:tc>
          <w:tcPr>
            <w:tcW w:type="dxa" w:w="3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1350</w:t>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4400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Укрупненные показатели электропотребления приводятся для больших городов. Их следует принимать с коэффициентами для групп городов:</w:t>
      </w:r>
    </w:p>
    <w:p>
      <w:pPr>
        <w:spacing w:after="120"/>
        <w:ind w:firstLine="397"/>
        <w:jc w:val="both"/>
      </w:pPr>
      <w:r>
        <w:rPr>
          <w:rFonts w:ascii="Arial" w:cs="Arial" w:eastAsia="Arial" w:hAnsi="Arial"/>
          <w:sz w:val="24"/>
          <w:szCs w:val="24"/>
        </w:rPr>
        <w:t xml:space="preserve">крупнейших      1,2</w:t>
      </w:r>
    </w:p>
    <w:p>
      <w:pPr>
        <w:spacing w:after="120"/>
        <w:ind w:firstLine="397"/>
        <w:jc w:val="both"/>
      </w:pPr>
      <w:r>
        <w:rPr>
          <w:rFonts w:ascii="Arial" w:cs="Arial" w:eastAsia="Arial" w:hAnsi="Arial"/>
          <w:sz w:val="24"/>
          <w:szCs w:val="24"/>
        </w:rPr>
        <w:t xml:space="preserve">крупных  1,1</w:t>
      </w:r>
    </w:p>
    <w:p>
      <w:pPr>
        <w:spacing w:after="120"/>
        <w:ind w:firstLine="397"/>
        <w:jc w:val="both"/>
      </w:pPr>
      <w:r>
        <w:rPr>
          <w:rFonts w:ascii="Arial" w:cs="Arial" w:eastAsia="Arial" w:hAnsi="Arial"/>
          <w:sz w:val="24"/>
          <w:szCs w:val="24"/>
        </w:rPr>
        <w:t xml:space="preserve">средних  ...0,9</w:t>
      </w:r>
    </w:p>
    <w:p>
      <w:pPr>
        <w:spacing w:after="120"/>
        <w:ind w:firstLine="397"/>
        <w:jc w:val="both"/>
      </w:pPr>
      <w:r>
        <w:rPr>
          <w:rFonts w:ascii="Arial" w:cs="Arial" w:eastAsia="Arial" w:hAnsi="Arial"/>
          <w:sz w:val="24"/>
          <w:szCs w:val="24"/>
        </w:rPr>
        <w:t xml:space="preserve">малых     0,8</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7ymkyzcwxz4ak687xfv0">
      <w:r>
        <w:rPr>
          <w:rFonts w:ascii="Arial" w:cs="Arial" w:eastAsia="Arial" w:hAnsi="Arial"/>
          <w:color w:val="132D3F"/>
          <w:sz w:val="16"/>
          <w:szCs w:val="16"/>
          <w:u w:val="single"/>
        </w:rPr>
        <w:t xml:space="preserve">dalil.kg/document/200075</w:t>
      </w:r>
    </w:hyperlink>
  </w:p>
  <w:p>
    <w:pPr>
      <w:spacing w:after="0" w:before="40"/>
      <w:jc w:val="center"/>
    </w:pPr>
    <w:hyperlink w:history="1" r:id="rIdmim7vddc9v3sqjnigoim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6eouypx-wfhlktubdp2p" Type="http://schemas.openxmlformats.org/officeDocument/2006/relationships/hyperlink" Target="https://dalil.kg/document/200522" TargetMode="External"/><Relationship Id="rIdmxl6f9d2qkew198tijukr" Type="http://schemas.openxmlformats.org/officeDocument/2006/relationships/hyperlink" Target="https://dalil.kg/document/716" TargetMode="External"/><Relationship Id="rIdosu2qnkd4wiamp4buoa-c" Type="http://schemas.openxmlformats.org/officeDocument/2006/relationships/hyperlink" Target="https://dalil.kg/document/901" TargetMode="External"/><Relationship Id="rIdpwetngujvf1ayquq5ohhx" Type="http://schemas.openxmlformats.org/officeDocument/2006/relationships/hyperlink" Target="https://dalil.kg/document/200075#p1" TargetMode="External"/><Relationship Id="rIdrllnwzhzhblwhf8udeps-" Type="http://schemas.openxmlformats.org/officeDocument/2006/relationships/hyperlink" Target="https://dalil.kg/document/200075#p11" TargetMode="External"/><Relationship Id="rId8lm8z5jj8szettdmpbl0-" Type="http://schemas.openxmlformats.org/officeDocument/2006/relationships/hyperlink" Target="https://dalil.kg/document/71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7ymkyzcwxz4ak687xfv0" Type="http://schemas.openxmlformats.org/officeDocument/2006/relationships/hyperlink" Target="https://dalil.kg/document/200075" TargetMode="External"/><Relationship Id="rIdmim7vddc9v3sqjnigoim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2026-09-26T09:22:16.096Z</dcterms:created>
  <dcterms:modified xsi:type="dcterms:W3CDTF">2026-09-26T09:22:16.096Z</dcterms:modified>
</cp:coreProperties>
</file>

<file path=docProps/custom.xml><?xml version="1.0" encoding="utf-8"?>
<Properties xmlns="http://schemas.openxmlformats.org/officeDocument/2006/custom-properties" xmlns:vt="http://schemas.openxmlformats.org/officeDocument/2006/docPropsVTypes"/>
</file>