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2"/>
          <w:szCs w:val="22"/>
        </w:rPr>
        <w:t xml:space="preserve">НОРМАТИВНЫЕ ДОКУМЕНТЫ В СТРОИТЕЛЬСТВЕ
 СТРОИТЕЛЬНЫЕ НОРМЫ И ПРАВИЛА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2"/>
          <w:szCs w:val="22"/>
        </w:rPr>
        <w:t xml:space="preserve">Система сметных нормативных документов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Утверждены
 </w:t>
      </w:r>
      <w:hyperlink w:history="1" r:id="rIdh4hs0ailpx2n2dw2ir_gs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2"/>
          <w:szCs w:val="22"/>
        </w:rPr>
        <w:t xml:space="preserve"> Государственного агентства архитектуры, строительства и жилищно-коммунального хозяйства при Правительстве Кыргызской Республики
 от 18 мая 2016 года № 4-нпа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МЕТОДИЧЕСКИЕ УКАЗАНИЯ
 по определению величины сметной прибыли в строительстве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приказов Госстроя КР от </w:t>
      </w:r>
      <w:hyperlink w:history="1" r:id="rIdfpadsg4cdatqozqfdrmh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2017 года № 10-нпа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Министерства строительства, архитектуры и жилищно-коммунального хозяйства Кыргызской Республики от </w:t>
      </w:r>
      <w:hyperlink w:history="1" r:id="rIddzf7gxlcaevgv1p6r7mw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февраля 2026 года № 110-нпа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jc w:val="center"/>
      </w:pPr>
      <w:r>
        <w:rPr>
          <w:rFonts w:ascii="Arial" w:cs="Arial" w:eastAsia="Arial" w:hAnsi="Arial"/>
          <w:sz w:val="22"/>
          <w:szCs w:val="22"/>
        </w:rPr>
        <w:t xml:space="preserve">Издание официальное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ГОСУДАРСТВЕННОЕ АГЕНТСТВО АРХИТЕКТУРЫ, СТРОИТЕЛЬСТВА И ЖИЛИЩНО-КОМУНАЛЬНОГО ХОЗЯЙСТВА ПРИ ПРАВИТЕЛЬСТВЕ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РАЗРАБОТАНА: Отделом анализа, ценообразования и внешних связей Государственного агентства архитектуры, строительства и жилищно-коммунального хозяйства при Правительстве Кыргызской Республики (руководитель - Асанова Г.Э.).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ВНЕСЕНА НА УТВЕРЖДЕНИЕ: Отделом анализа, ценообразования и внешних связей Государственного агентства архитектуры, строительства и жилищно-коммунального хозяйства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ПРИНЯТА И ВВЕДЕНА В ДЕЙСТВИЕ приказом от _________________ № ___.2016 г. Государственного агентства архитектуры, строительства и жилищно-коммунального хозяйства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РАССМОТРЕНА: зарегистрирована в государственном реестре Министерством юстиции Кыргызской № ___ от _____________ 2016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Настоящие нормы и правила не могут быть полностью или частично воспроизведены, тиражированы и распространены в качестве официального издания без решения Государственного агентства архитектуры, строительства и жилищно-коммунального хозяйства при Правительстве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Введение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Методические указания по определению величины сметной прибыли в строительстве разработаны на основании МДС 81-25.2001, Типовых методических рекомендациях по планированию и учету себестоимости строительных работ и определяют принципы и порядок расчета величины сметной прибыли при формировании сметной стоимости строительства.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Методические указания применяются для определения начальной (стартовой) цены строительной продукции при разработке тендерной документации для проведения конкурсов по размещению подрядов на выполнение работ и оказание услуг в строительстве и договорных цен на строительную продукцию, устанавливаемых на основе переговоров с подрядчиками.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Методических указаниях учтены положения, содержащиеся в Гражданском </w:t>
      </w:r>
      <w:hyperlink w:history="1" r:id="rIdmzawpthk613a9asvyt5tl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кодексе</w:t>
        </w:r>
      </w:hyperlink>
      <w:r>
        <w:rPr>
          <w:rFonts w:ascii="Arial" w:cs="Arial" w:eastAsia="Arial" w:hAnsi="Arial"/>
          <w:sz w:val="22"/>
          <w:szCs w:val="22"/>
        </w:rPr>
        <w:t xml:space="preserve"> КР, Налоговом </w:t>
      </w:r>
      <w:hyperlink w:history="1" r:id="rIdcspic6mvm18lqhk20wo-s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кодексе</w:t>
        </w:r>
      </w:hyperlink>
      <w:r>
        <w:rPr>
          <w:rFonts w:ascii="Arial" w:cs="Arial" w:eastAsia="Arial" w:hAnsi="Arial"/>
          <w:sz w:val="22"/>
          <w:szCs w:val="22"/>
        </w:rPr>
        <w:t xml:space="preserve"> КР, а также в действующих нормативных актах по бухгалтерскому учету и др. документах, согласно </w:t>
      </w:r>
      <w:hyperlink w:history="1" r:id="rIdu616posgf46vokikvigyq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Положения, приведенные в Методических указаниях, обязательны для всех предприятий и организаций независимо от принадлежности и формы собственности, осуществляющих капитальное строительство за счет средств государственного бюджета, государственных кредитов, получаемых под государственные гарантии, других средств, поступающих в качестве государственной поддержки, если иное не предусмотрено соответствующими распорядительными документами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Для строек, финансирование которых осуществляется за счет собственных средств предприятий, организаций и физических лиц, положения настоящего документа носят рекомендательный характер.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Положения Методических указаний распространяются на работы, выполняемые хозяйственным способом, а также на объекты капитального ремонта зданий и сооружений по отраслям.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Методических указаниях учтены требования и положения правовых и нормативно-методических документов по состоянию на 1 февраля 2016 года.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1.1. Методические указания предназначены для определения сметной прибыли: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инвесторами (заказчиками-застройщиками) при составлении инвесторских смет для оценки инвестиционных программ (проектов), при подготовке заключаемого договора, в т.ч. при подрядных торгах и определении договорных цен в случаях формирования их на основе переговоров заказчиков с подрядчиками;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подрядными организациями при составлении ценовых предложений на конкурсные торги;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проектными организациями при разработке сметной документации.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Сметная прибыль в составе сметной стоимости строительной продукции - это средства, предназначенные для покрытия расходов подрядных организаций на развитие производства и материальное стимулирование работников.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Сметная прибыль является нормативной частью стоимости строительной продукции и не относится на себестоимость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1.2. В составе норматива сметной прибыли учтены затраты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отдельные региональные и местные налоги и сборы, в т.ч.: налог на прибыль организаций, налог на имущество, налог на прибыль предприятий и организаций по ставкам, устанавливаемым органами местного самоуправления в размере не выше 5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расширенное воспроизводство подрядных организаций (модернизация оборудования, реконструкция объектов основных фондов);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материальное стимулирование работников (материальная помощь, проведение мероприятий по охране здоровья и отдыха, не связанных непосредственно с участием работников в производственном процессе);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организацию помощи и бесплатных услуг учебным заведениям.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1.3. Затраты, не учитываемые в нормативах сметной прибыли, приведены в </w:t>
      </w:r>
      <w:hyperlink w:history="1" r:id="rIdy3jqbdh8zewbvcowcn0m-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1.4. В качестве базы для исчисления сметной прибыли принимается величина средств на оплату труда рабочих (строителей и механизаторов) в текущих ценах в составе сметных прямых затрат.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1.5. Сметная прибыль определяется с использованием: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общеотраслевых нормативов, устанавливаемых для всех исполнителей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нормативов по видам строительных и монтажных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индивидуальной нормы, разрабатываемой (в отдельных случаях) для конкретной подрядной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Решение по выбору варианта исчисления величины сметной прибыли принимается инвестором (заказчиком-застройщиком) и подрядчиком на равноправной основе.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Порядок определения и применения нормативов сметной прибыли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2.1. При определении сметной стоимости строительно-монтажных работ общеотраслевой норматив сметной прибыли составляет 65% к величине средств на оплату труда рабочих (строителей и механизаторов) и используется для выполнения общеэкономических расчетов в инвестиционной сфере.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2.2. Общеотраслевой норматив сметной прибыли в составе сметной стоимости ремонтно-строительных работ составляет 50% к величине средств на оплату труда рабочих (строителей и механизаторов).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2.3. Общеотраслевые нормативы сметной прибыли целесообразнее применять для разработки инвесторских смет, технико-экономического обоснования проектов и определения начальной (стартовой) цены предмета конкурса при проведении подрядных торгов.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По согласованию между заказчиком-застройщиком и подрядчиком указанные нормативы сметной прибыли могут применяться на стадии разработки рабочей документации и расчетах за выполненные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2.4. При определении сметной стоимости строительно-монтажных работ на стадии разработки рабочей документации и расчетах за выполненные работы применяются нормативы сметной прибыли по видам строительных и монтажных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Указанные нормативы приведены в </w:t>
      </w:r>
      <w:hyperlink w:history="1" r:id="rIdrgvmny_cqezuckqlmtqgb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2.5. В связи с выходом новых законодательных и нормативных актов Госстрой КР осуществляет периодическую корректировку общеотраслевых нормативов сметной прибыли и нормативов по видам строительных и монтажных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2.6. В тех случаях, когда условия производства работ отличаются от принятых в усредненных нормативах и прибыль, рассчитанная на основе общеотраслевых нормативов не покрывает расходы подрядной организации на развитие производства и материальное стимулирование работников по согласованию с заказчиком-застройщиком, рекомендуется разрабатывать и применять индивидуальный норматив сметной прибыли (за исключением строек, финансируемых из бюджета).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2.7. Внесение изменений и дополнений в утвержденные Госстроем КР нормативы не допускается.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Порядок расчета индивидуального норматива сметной прибыли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3.1. При расчете индивидуальных нормативов используются действующие законодательные и нормативные документы, регламентирующие величину нормируемых статей, а также данные государственной статистической отчетности и бухгалтерского учета.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Индивидуальные нормативы сметной прибыли определяются на основе расчетов подрядных организаций, осуществляемых путем калькулирования по статьям затрат, приведенным в п.1.2.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3.2. При определении размера средств по статье "Модернизация оборудования, реконструкция объектов основных фондов" следует выполнить анализ показателей, характеризующих имущественное положение подрядных организаций (доля основных средств в активах, доля активной части основных средств) и фактического состояния основных производственных фондов (обновление и выбытие, коэффициент износа, наличие собственных оборотных средств и т.п.).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Размер средств по указанной статье определяется расчетом на основе данных бизнес-плана инвестиционного развития организации и бухгалтерского учета расходов подрядной организации на эти цели в предшествующий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3.3. Размер средств, связанных с материальным стимулированием работников, следует определять на основе данных подрядных организаций за предшествующий период, получивших отражение в приложении к бухгалтерскому балансу.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приложении отражаются денежные выплаты и поощрения, не связанные с производством продукции, выполнением работ, оказанием услуг, в т.ч.: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расходы на отдельные виды вознаграждений помимо предусматриваемых в трудовых договорах (контрактах);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материальная помощь (в т.ч. безвозмездная) работникам для участия в системе ипотечного кредитования или на частичное погашение кредита, предоставленного на индивидуальное жилищное строительство и иные социальные потребности;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выплата разницы стоимости при реализации по льготным ценам (ниже рыночных) товаров (работ и услуг) работникам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оплата путевок на лечение или отдых, экскурсий или путешествий, занятий в спортивных секциях, кружках или клубах, посещение культурно-зрелищных или физкультурных (спортивных) мероприятий, а также других аналогичных выплат.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указанные выплаты и денежные поощрения включаются начисления единого социального налога в соответствии с действующим законодательством, от суммы планируемых средств на оказание материальной помощи рабочим и служащим и 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3.4. На затраты, определенные в соответствии с п.п. 3.2., 3.3., начисляются налоги в соответствии с действующим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3.5. Налог на прибыль определяется в соответствии с расчетными показателями по каждой статье, включаемой в расчет планируемой сметной прибыли.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3.6. Расчет налога на имущество выполняется на основе данных об основных фондах используемых при выполнении строительно-монтажных работ, а также планируемых средств на их приобретение и модернизацию.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3.7. Расчет индивидуальной нормы сметной прибыли осуществляется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 (1)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</w:t>
      </w:r>
      <w:r>
        <w:rPr>
          <w:rFonts w:ascii="Arial" w:cs="Arial" w:eastAsia="Arial" w:hAnsi="Arial"/>
          <w:sz w:val="22"/>
          <w:szCs w:val="22"/>
        </w:rPr>
        <w:t xml:space="preserve">И</w:t>
      </w:r>
      <w:r>
        <w:rPr>
          <w:rFonts w:ascii="Arial" w:cs="Arial" w:eastAsia="Arial" w:hAnsi="Arial"/>
          <w:sz w:val="22"/>
          <w:szCs w:val="22"/>
        </w:rPr>
        <w:t xml:space="preserve"> - норма индивидуальной прибыли, в процентах;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</w:t>
      </w:r>
      <w:r>
        <w:rPr>
          <w:rFonts w:ascii="Arial" w:cs="Arial" w:eastAsia="Arial" w:hAnsi="Arial"/>
          <w:sz w:val="22"/>
          <w:szCs w:val="22"/>
        </w:rPr>
        <w:t xml:space="preserve">П</w:t>
      </w:r>
      <w:r>
        <w:rPr>
          <w:rFonts w:ascii="Arial" w:cs="Arial" w:eastAsia="Arial" w:hAnsi="Arial"/>
          <w:sz w:val="22"/>
          <w:szCs w:val="22"/>
        </w:rPr>
        <w:t xml:space="preserve"> - размер прибыли, определенный по расчету для конкретной подрядной организации, тыс. 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 - величина средств на оплату труда рабочих (строителей и механизаторов в составе прямых затрат), тыс. сом.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Порядок начисления сметной прибыли при составлении сметной документации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4.1. При составлении локальных сметных расчетов (смет) без деления на разделы, начисление сметной прибыли производится в конце расчета (сметы), а при формировании по разделам - в конце каждого раздела и в целом по сметному расчету (смете).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4.2. Порядок начисления норматива сметной прибыли в сметной документации зависит от метода определения сметной стоимости строительной продукции и стадийности проектирования.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4.3. При определении сметной стоимости строительной продукции в текущем уровне цен, величина сметной прибыли может быть определена по формулам: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 стадии "проект":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 = З • Н</w:t>
      </w:r>
      <w:r>
        <w:rPr>
          <w:rFonts w:ascii="Arial" w:cs="Arial" w:eastAsia="Arial" w:hAnsi="Arial"/>
          <w:sz w:val="22"/>
          <w:szCs w:val="22"/>
        </w:rPr>
        <w:t xml:space="preserve">З</w:t>
      </w:r>
      <w:r>
        <w:rPr>
          <w:rFonts w:ascii="Arial" w:cs="Arial" w:eastAsia="Arial" w:hAnsi="Arial"/>
          <w:sz w:val="22"/>
          <w:szCs w:val="22"/>
        </w:rPr>
        <w:t xml:space="preserve"> : 100  (2)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 стадии "рабочая документация":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 (3)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 - величина сметной прибыли, тыс. 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 - величина средств на оплату труда рабочих-строителей и механизаторов, учитываемая в составе прямых затрат локального сметного расчета (сметы), тыс. 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</w:t>
      </w:r>
      <w:r>
        <w:rPr>
          <w:rFonts w:ascii="Arial" w:cs="Arial" w:eastAsia="Arial" w:hAnsi="Arial"/>
          <w:sz w:val="22"/>
          <w:szCs w:val="22"/>
        </w:rPr>
        <w:t xml:space="preserve">З</w:t>
      </w:r>
      <w:r>
        <w:rPr>
          <w:rFonts w:ascii="Arial" w:cs="Arial" w:eastAsia="Arial" w:hAnsi="Arial"/>
          <w:sz w:val="22"/>
          <w:szCs w:val="22"/>
        </w:rPr>
        <w:t xml:space="preserve"> - общеотраслевой норматив сметной прибыли, установленный к фонду оплаты труда рабочих (строителей и механизаторов) в составе прямых затрат;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</w:t>
      </w:r>
      <w:r>
        <w:rPr>
          <w:rFonts w:ascii="Arial" w:cs="Arial" w:eastAsia="Arial" w:hAnsi="Arial"/>
          <w:sz w:val="22"/>
          <w:szCs w:val="22"/>
        </w:rPr>
        <w:t xml:space="preserve">cni</w:t>
      </w:r>
      <w:r>
        <w:rPr>
          <w:rFonts w:ascii="Arial" w:cs="Arial" w:eastAsia="Arial" w:hAnsi="Arial"/>
          <w:sz w:val="22"/>
          <w:szCs w:val="22"/>
        </w:rPr>
        <w:t xml:space="preserve"> - норма сметной прибыли по i-му виду строительных и монтажных работ, приведенная в </w:t>
      </w:r>
      <w:hyperlink w:history="1" r:id="rIdkpg1d9lzbqvbcydbkixi6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2"/>
          <w:szCs w:val="22"/>
        </w:rPr>
        <w:t xml:space="preserve">, в процентах;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n</w:t>
      </w:r>
      <w:r>
        <w:rPr>
          <w:rFonts w:ascii="Arial" w:cs="Arial" w:eastAsia="Arial" w:hAnsi="Arial"/>
          <w:sz w:val="22"/>
          <w:szCs w:val="22"/>
        </w:rPr>
        <w:t xml:space="preserve"> - общее количество видов работ по данному объекту.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4.4. При применении базисно-индексного метода </w:t>
      </w:r>
      <w:r>
        <w:rPr>
          <w:rFonts w:ascii="Arial" w:cs="Arial" w:eastAsia="Arial" w:hAnsi="Arial"/>
          <w:sz w:val="24"/>
          <w:szCs w:val="24"/>
        </w:rPr>
        <w:t xml:space="preserve">с учетом инфляции</w:t>
      </w:r>
      <w:r>
        <w:rPr>
          <w:rFonts w:ascii="Arial" w:cs="Arial" w:eastAsia="Arial" w:hAnsi="Arial"/>
          <w:sz w:val="22"/>
          <w:szCs w:val="22"/>
        </w:rPr>
        <w:t xml:space="preserve">, величина сметной прибыли определятся по формулам: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 стадии "проект":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(4)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 стадии "рабочая документация":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 (5)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</w:t>
      </w:r>
      <w:r>
        <w:rPr>
          <w:rFonts w:ascii="Arial" w:cs="Arial" w:eastAsia="Arial" w:hAnsi="Arial"/>
          <w:sz w:val="22"/>
          <w:szCs w:val="22"/>
        </w:rPr>
        <w:t xml:space="preserve">б</w:t>
      </w:r>
      <w:r>
        <w:rPr>
          <w:rFonts w:ascii="Arial" w:cs="Arial" w:eastAsia="Arial" w:hAnsi="Arial"/>
          <w:sz w:val="22"/>
          <w:szCs w:val="22"/>
        </w:rPr>
        <w:t xml:space="preserve"> - величина средств на оплату труда рабочих-строителей и механизаторов, учитываемая в составе прямых затрат локального сметного расчета (сметы), составленного с использованием сметных норм и цен базисного уровня, тыс. 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</w:t>
      </w:r>
      <w:r>
        <w:rPr>
          <w:rFonts w:ascii="Arial" w:cs="Arial" w:eastAsia="Arial" w:hAnsi="Arial"/>
          <w:sz w:val="22"/>
          <w:szCs w:val="22"/>
        </w:rPr>
        <w:t xml:space="preserve">ci</w:t>
      </w:r>
      <w:r>
        <w:rPr>
          <w:rFonts w:ascii="Arial" w:cs="Arial" w:eastAsia="Arial" w:hAnsi="Arial"/>
          <w:sz w:val="22"/>
          <w:szCs w:val="22"/>
        </w:rPr>
        <w:t xml:space="preserve"> и З</w:t>
      </w:r>
      <w:r>
        <w:rPr>
          <w:rFonts w:ascii="Arial" w:cs="Arial" w:eastAsia="Arial" w:hAnsi="Arial"/>
          <w:sz w:val="22"/>
          <w:szCs w:val="22"/>
        </w:rPr>
        <w:t xml:space="preserve">mi</w:t>
      </w:r>
      <w:r>
        <w:rPr>
          <w:rFonts w:ascii="Arial" w:cs="Arial" w:eastAsia="Arial" w:hAnsi="Arial"/>
          <w:sz w:val="22"/>
          <w:szCs w:val="22"/>
        </w:rPr>
        <w:t xml:space="preserve"> - суммарные по i-му виду работ сметные величины оплаты труда (основной заработной платы) рабочих-строителей и механизаторов, тыс. 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И</w:t>
      </w:r>
      <w:r>
        <w:rPr>
          <w:rFonts w:ascii="Arial" w:cs="Arial" w:eastAsia="Arial" w:hAnsi="Arial"/>
          <w:sz w:val="22"/>
          <w:szCs w:val="22"/>
        </w:rPr>
        <w:t xml:space="preserve">от</w:t>
      </w:r>
      <w:r>
        <w:rPr>
          <w:rFonts w:ascii="Arial" w:cs="Arial" w:eastAsia="Arial" w:hAnsi="Arial"/>
          <w:sz w:val="22"/>
          <w:szCs w:val="22"/>
        </w:rPr>
        <w:t xml:space="preserve"> - индекс текущего уровня средств на оплату труда в строительстве по отношению к уровню оплаты труда (основной сметной заработной платы рабочих), учтенной сметными нормами и ценами базисного уровня;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n</w:t>
      </w:r>
      <w:r>
        <w:rPr>
          <w:rFonts w:ascii="Arial" w:cs="Arial" w:eastAsia="Arial" w:hAnsi="Arial"/>
          <w:sz w:val="22"/>
          <w:szCs w:val="22"/>
        </w:rPr>
        <w:t xml:space="preserve"> - общее количество видов работ по данному объекту.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</w:t>
      </w:r>
      <w:r>
        <w:rPr>
          <w:rFonts w:ascii="Arial" w:cs="Arial" w:eastAsia="Arial" w:hAnsi="Arial"/>
          <w:sz w:val="24"/>
          <w:szCs w:val="24"/>
        </w:rPr>
        <w:t xml:space="preserve">Министерства строительства, архитектуры и жилищно-коммунального хозяйства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 </w:t>
      </w:r>
      <w:hyperlink w:history="1" r:id="rId2apryyru_encyizlk3cx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февраля 2026 года № 110-нпа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4.5. При определении стоимости строительно-монтажных работ, выполняемых индивидуальными предпринимателями (физическими лицами) по договорам бытового или строительного подряда, величину сметной прибыли рекомендуется определять по индивидуальной норме, согласованной с заказчиком.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Организация работы по определению нормативов сметной прибыли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5.1. Общее методическое руководство разработкой нормативов сметной прибыли осуществляет Управление ценообразования и сметного нормирования в строительстве и жилищно-коммунальном комплексе Госстроя КР (далее - Управление ценообразования).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5.2. Разработка общеотраслевых нормативов, а также норм по видам строительных и монтажных работ производится организациями разработчиками, определяемыми Управлением ценообразования.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Разработанные проекты нормативов сметной прибыли рассматриваются комиссией (рабочей группой) по разработке документов по ценообразованию в строительстве Госстроя КР.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 учетом результатов рассмотрения на рабочей комиссии организации-разработчики вносят в проекты нормативов соответствующие коррективы.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Откорректированные нормативы передаются в Управление ценообразования, которое после окончательной экспертизы представляет их на утверждение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5.3. Разработка индивидуальных норм для отдельных подрядных организаций осуществляется непосредственно подрядными организациями, проектными и другими организациями на основе заключенных договоров на выполнение указанных работ. Разработанные проекты индивидуальных норм сметной прибыли передаются подрядчиком заказчику-застройщику для рассмотрения и проведения экспертизы. На основе экспертных заключений организации-разработчики вносят соответствующие коррективы в проекты индивидуальных норм сметной прибыли и передают для согласования заказчику-застройщику.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5.4. В случае экономической целесообразности, что должно быть подтверждено проектом организации строительства (ПОС), допускается включение затрат, связанных с инфраструктурой строительно-монтажных организаций и развитием производственной базы (</w:t>
      </w:r>
      <w:hyperlink w:history="1" r:id="rIdcs6tumkdyy7wvj0shivee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2"/>
          <w:szCs w:val="22"/>
        </w:rPr>
        <w:t xml:space="preserve">, п.3) в главу 9 "Прочие работы и затраты" сводного сметного расчета стоимости строительства и договорные цены на основании расчета, согласованного с заказчиком-застройщиком.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ПЕРЕЧЕНЬ
 законодательных и нормативных документов, использованных при подготовке "Методических указаний по определению величины сметной прибыли в строительстве"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Налоговый </w:t>
      </w:r>
      <w:hyperlink w:history="1" r:id="rIdqgnm_r-vvz9palhnam7mn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2"/>
          <w:szCs w:val="22"/>
        </w:rPr>
        <w:t xml:space="preserve"> КР (часть первая).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ЗАТРАТЫ,
 не учитываемые в нормативах сметной прибыли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Затраты, не влияющие на производственную деятельность подрядной организации,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т.ч.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благотворительные взносы;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развитие социальной и коммунально-бытовой сферы;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добровольные пожертвования в избирательные фонды;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премирование работников непроизводственной сферы;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оплату дополнительных (сверх установленной продолжительности) отпусков;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выделение единовременных пособий работникам, уходящим на пенсию, надбавки к пенсиям;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компенсацию стоимости питания в столовых и буфетах;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оплату проездов в транспорте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возмещение расходов сверх установленных норм при направлении работников для выполнения монтажных, наладочных и строительных работ, за подвижной и разъездной характер их деятельности, за производство работ вахтовым методом;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оплату подписки на газеты и журналы;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оплату командировочных расходов сверх установленных норм;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страхование персонала строительных организаций (кроме обязательного социального страхования и обеспечения медицинского страхования);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на создание совместных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покупку акций, облигаций и других ценных бумаг, затраты, связанные с выпуском и распространением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содержание аппарата управления объединений, ассоциаций, концернов и других вышестоящих органов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погашение кредитов коммерческих банков и выплату процентов по ним, а также по отсроченным и просроченным ссудам (сверх сумм по учетной ставке Национального банка КР);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частичное погашение банковского кредита работникам на жилищное строительство, на обзаведение домашним хозяйством;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платежи за превышение предельно допустимых выбросов загрязняющих веществ;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содержание учебных заведений, состоящих на балансе строительных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содержание подсобного сельского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другие расходы, производимые за счет собственных средств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Затраты, связанные с пополнением оборотных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Порядок пополнения указанных средств предусматривается при заключении договоров подряда, включая авансирование работ или получение банковского кредита на приобретение материалов, изделий и конструкций.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Затраты, связанные с инфраструктурой строительно-монтажной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 ним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содержание находящихся на балансе строительно-монтажных организаций объектов и учреждений здравоохранения, народного образования, культуры и спорта, детских дошкольных учреждений, детских лагерей отдыха, жилищного фонда, а также покрытие расходов при долевом участии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строительство жилых и других объектов непроизводственного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техническое перевооружение, реконструкция, расширение и строительство новых объектов производственного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"Нормативы сметной прибыли по видам строительных и монтажных работ"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приказа Госстроя КР от </w:t>
      </w:r>
      <w:hyperlink w:history="1" r:id="rIdrk3gv7_qhphxazghvft2y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5 декабря 2017 года № 10-нпа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1"/>
        <w:gridCol w:w="6834"/>
        <w:gridCol w:w="568"/>
        <w:gridCol w:w="2266"/>
      </w:tblGrid>
      <w:tr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7.2</w:t>
            </w:r>
          </w:p>
        </w:tc>
        <w:tc>
          <w:tcPr>
            <w:tcW w:type="dxa" w:w="68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жилищно-гражданском</w:t>
            </w:r>
          </w:p>
        </w:tc>
        <w:tc>
          <w:tcPr>
            <w:tcW w:type="dxa" w:w="5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</w:t>
            </w:r>
          </w:p>
        </w:tc>
        <w:tc>
          <w:tcPr>
            <w:tcW w:type="dxa" w:w="22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разделы 05,08 (табл. 07-08-001, 07-08-006);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</w:t>
            </w:r>
          </w:p>
        </w:tc>
        <w:tc>
          <w:tcPr>
            <w:tcW w:type="dxa" w:w="6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Пусконаладочные работы</w:t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</w:t>
            </w:r>
          </w:p>
        </w:tc>
        <w:tc>
          <w:tcPr>
            <w:tcW w:type="dxa" w:w="2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КРЕРп–2015, КРЕРмр-41 отдел 05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</w:t>
            </w:r>
          </w:p>
        </w:tc>
        <w:tc>
          <w:tcPr>
            <w:tcW w:type="dxa" w:w="6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Работы по реконструкции зданий и сооружений (усиление и замена существующих конструкций, разборка и возведение отдельных конструктивных элементов)</w:t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</w:t>
            </w:r>
          </w:p>
        </w:tc>
        <w:tc>
          <w:tcPr>
            <w:tcW w:type="dxa" w:w="2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КРЕР-46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"Нормативы сметной прибыли по видам ремонтно-строительных работ"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приказа Госстроя КР от </w:t>
      </w:r>
      <w:hyperlink w:history="1" r:id="rIdt9rjgchoprbw315vtifk_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5 декабря 2017 года № 10-нпа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5"/>
        <w:gridCol w:w="2984"/>
        <w:gridCol w:w="4798"/>
        <w:gridCol w:w="1771"/>
      </w:tblGrid>
      <w:tr>
        <w:tc>
          <w:tcPr>
            <w:tcW w:type="dxa" w:w="6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
 п/п</w:t>
            </w:r>
          </w:p>
        </w:tc>
        <w:tc>
          <w:tcPr>
            <w:tcW w:type="dxa" w:w="29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Виды ремонтно-строительных работ</w:t>
            </w:r>
          </w:p>
        </w:tc>
        <w:tc>
          <w:tcPr>
            <w:tcW w:type="dxa" w:w="47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Нормативы сметной прибыли в процентах от фонда оплаты труда рабочих - строителей и механизаторов</w:t>
            </w:r>
          </w:p>
        </w:tc>
        <w:tc>
          <w:tcPr>
            <w:tcW w:type="dxa" w:w="17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Область применения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Земляные работы, выполняемые:</w:t>
            </w:r>
          </w:p>
        </w:tc>
        <w:tc>
          <w:tcPr>
            <w:tcW w:type="dxa" w:w="4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КРЕРр-51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1.1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Механизированным способом</w:t>
            </w:r>
          </w:p>
        </w:tc>
        <w:tc>
          <w:tcPr>
            <w:tcW w:type="dxa" w:w="4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1.2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Ручным способом</w:t>
            </w:r>
          </w:p>
        </w:tc>
        <w:tc>
          <w:tcPr>
            <w:tcW w:type="dxa" w:w="4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Фундаменты</w:t>
            </w:r>
          </w:p>
        </w:tc>
        <w:tc>
          <w:tcPr>
            <w:tcW w:type="dxa" w:w="4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КРЕРр-52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Стены</w:t>
            </w:r>
          </w:p>
        </w:tc>
        <w:tc>
          <w:tcPr>
            <w:tcW w:type="dxa" w:w="4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КРЕРр-53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Перекрытия</w:t>
            </w:r>
          </w:p>
        </w:tc>
        <w:tc>
          <w:tcPr>
            <w:tcW w:type="dxa" w:w="4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КРЕРр-54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Перегородки</w:t>
            </w:r>
          </w:p>
        </w:tc>
        <w:tc>
          <w:tcPr>
            <w:tcW w:type="dxa" w:w="4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КРЕРр-55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Проемы</w:t>
            </w:r>
          </w:p>
        </w:tc>
        <w:tc>
          <w:tcPr>
            <w:tcW w:type="dxa" w:w="4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КРЕРр-56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Полы </w:t>
            </w:r>
          </w:p>
        </w:tc>
        <w:tc>
          <w:tcPr>
            <w:tcW w:type="dxa" w:w="4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КРЕРр-57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Крыши, кровли</w:t>
            </w:r>
          </w:p>
        </w:tc>
        <w:tc>
          <w:tcPr>
            <w:tcW w:type="dxa" w:w="4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КРЕРр-58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Лестницы, крыльца</w:t>
            </w:r>
          </w:p>
        </w:tc>
        <w:tc>
          <w:tcPr>
            <w:tcW w:type="dxa" w:w="4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КРЕРр-59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Печные работы</w:t>
            </w:r>
          </w:p>
        </w:tc>
        <w:tc>
          <w:tcPr>
            <w:tcW w:type="dxa" w:w="4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КРЕРр-60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Штукатурные работы</w:t>
            </w:r>
          </w:p>
        </w:tc>
        <w:tc>
          <w:tcPr>
            <w:tcW w:type="dxa" w:w="4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КРЕРр-61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Малярные работы</w:t>
            </w:r>
          </w:p>
        </w:tc>
        <w:tc>
          <w:tcPr>
            <w:tcW w:type="dxa" w:w="4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КРЕРр-62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Стекольные, обойные и облицовочные работы</w:t>
            </w:r>
          </w:p>
        </w:tc>
        <w:tc>
          <w:tcPr>
            <w:tcW w:type="dxa" w:w="4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КРЕРр-63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Лепные работы</w:t>
            </w:r>
          </w:p>
        </w:tc>
        <w:tc>
          <w:tcPr>
            <w:tcW w:type="dxa" w:w="4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КРЕРр-64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Внутренние санитарно-технические работы:</w:t>
            </w:r>
          </w:p>
        </w:tc>
        <w:tc>
          <w:tcPr>
            <w:tcW w:type="dxa" w:w="4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КРЕРр-65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15.1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Демонтаж и разборка </w:t>
            </w:r>
          </w:p>
        </w:tc>
        <w:tc>
          <w:tcPr>
            <w:tcW w:type="dxa" w:w="4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15.2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Смена труб</w:t>
            </w:r>
          </w:p>
        </w:tc>
        <w:tc>
          <w:tcPr>
            <w:tcW w:type="dxa" w:w="4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Наружные инженерные сети:</w:t>
            </w:r>
          </w:p>
        </w:tc>
        <w:tc>
          <w:tcPr>
            <w:tcW w:type="dxa" w:w="4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КРЕРр-66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16.1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Разборка, очистка</w:t>
            </w:r>
          </w:p>
        </w:tc>
        <w:tc>
          <w:tcPr>
            <w:tcW w:type="dxa" w:w="4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16.2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Замена труб</w:t>
            </w:r>
          </w:p>
        </w:tc>
        <w:tc>
          <w:tcPr>
            <w:tcW w:type="dxa" w:w="4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Электромонтажные работы</w:t>
            </w:r>
          </w:p>
        </w:tc>
        <w:tc>
          <w:tcPr>
            <w:tcW w:type="dxa" w:w="4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КРЕРр-67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Благоустройство</w:t>
            </w:r>
          </w:p>
        </w:tc>
        <w:tc>
          <w:tcPr>
            <w:tcW w:type="dxa" w:w="4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КРЕРр-68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ремонтно-строительные работы</w:t>
            </w:r>
          </w:p>
        </w:tc>
        <w:tc>
          <w:tcPr>
            <w:tcW w:type="dxa" w:w="4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КРЕРр-69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Для организаций, использующих упрощенную систему налогообложения, нормативы сметной прибыли применяются с коэффициентом 0,9.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mjzh-q5kzt3l6seji-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dalil.kg/document/200086</w:t>
      </w:r>
    </w:hyperlink>
  </w:p>
  <w:p>
    <w:pPr>
      <w:spacing w:after="0" w:before="40"/>
      <w:jc w:val="center"/>
    </w:pPr>
    <w:hyperlink w:history="1" r:id="rIdzyskjbaejq7wkelcume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4hs0ailpx2n2dw2ir_gs" Type="http://schemas.openxmlformats.org/officeDocument/2006/relationships/hyperlink" Target="https://dalil.kg/document/200084" TargetMode="External"/><Relationship Id="rIdfpadsg4cdatqozqfdrmhn" Type="http://schemas.openxmlformats.org/officeDocument/2006/relationships/hyperlink" Target="https://dalil.kg/document/200687" TargetMode="External"/><Relationship Id="rIddzf7gxlcaevgv1p6r7mwj" Type="http://schemas.openxmlformats.org/officeDocument/2006/relationships/hyperlink" Target="https://dalil.kg/document/230040030" TargetMode="External"/><Relationship Id="rIdmzawpthk613a9asvyt5tl" Type="http://schemas.openxmlformats.org/officeDocument/2006/relationships/hyperlink" Target="https://dalil.kg/document/4" TargetMode="External"/><Relationship Id="rIdcspic6mvm18lqhk20wo-s" Type="http://schemas.openxmlformats.org/officeDocument/2006/relationships/hyperlink" Target="https://dalil.kg/document/202445" TargetMode="External"/><Relationship Id="rIdu616posgf46vokikvigyq" Type="http://schemas.openxmlformats.org/officeDocument/2006/relationships/hyperlink" Target="https://dalil.kg/document/200086#pr1" TargetMode="External"/><Relationship Id="rIdy3jqbdh8zewbvcowcn0m-" Type="http://schemas.openxmlformats.org/officeDocument/2006/relationships/hyperlink" Target="https://dalil.kg/document/200086#pr2" TargetMode="External"/><Relationship Id="rIdrgvmny_cqezuckqlmtqgb" Type="http://schemas.openxmlformats.org/officeDocument/2006/relationships/hyperlink" Target="https://dalil.kg/document/200086#pr3" TargetMode="External"/><Relationship Id="rIdkpg1d9lzbqvbcydbkixi6" Type="http://schemas.openxmlformats.org/officeDocument/2006/relationships/hyperlink" Target="https://dalil.kg/document/200086#pr3" TargetMode="External"/><Relationship Id="rId2apryyru_encyizlk3cxn" Type="http://schemas.openxmlformats.org/officeDocument/2006/relationships/hyperlink" Target="https://dalil.kg/document/230040030" TargetMode="External"/><Relationship Id="rIdcs6tumkdyy7wvj0shivee" Type="http://schemas.openxmlformats.org/officeDocument/2006/relationships/hyperlink" Target="https://dalil.kg/document/200086#pr2" TargetMode="External"/><Relationship Id="rIdqgnm_r-vvz9palhnam7mn" Type="http://schemas.openxmlformats.org/officeDocument/2006/relationships/hyperlink" Target="https://dalil.kg/document/202445" TargetMode="External"/><Relationship Id="rIdrk3gv7_qhphxazghvft2y" Type="http://schemas.openxmlformats.org/officeDocument/2006/relationships/hyperlink" Target="https://dalil.kg/document/200687" TargetMode="External"/><Relationship Id="rIdt9rjgchoprbw315vtifk_" Type="http://schemas.openxmlformats.org/officeDocument/2006/relationships/hyperlink" Target="https://dalil.kg/document/200687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mjzh-q5kzt3l6seji-ol" Type="http://schemas.openxmlformats.org/officeDocument/2006/relationships/hyperlink" Target="https://dalil.kg/document/200086" TargetMode="External"/><Relationship Id="rIdzyskjbaejq7wkelcumes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2026-09-26T04:01:30.906Z</dcterms:created>
  <dcterms:modified xsi:type="dcterms:W3CDTF">2026-09-26T04:01:30.906Z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