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августа 2018 года №4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Авиационные правила Кыргызской Республики «</w:t>
      </w:r>
      <w:hyperlink w:history="1" r:id="rIdnt-up6ei_qutpkf6ttr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АПКР-20. Правила воздушных перевозок</w:t>
        </w:r>
      </w:hyperlink>
      <w:r>
        <w:rPr>
          <w:rFonts w:ascii="Arial" w:cs="Arial" w:eastAsia="Arial" w:hAnsi="Arial"/>
          <w:sz w:val="24"/>
          <w:szCs w:val="24"/>
        </w:rPr>
        <w:t xml:space="preserve">», утверждённые приказом Министерства транспорта и коммуникаций Кыргызской Республики «Об утверждении Авиационных правил Кыргызской Республики» от 27 января 2016 года №1»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правового и социально-экономического положения граждан Кыргызской Республики и в соответствии с постановлением Правительства Кыргызской Республики от 15 сентября 2014 года №530 «О делегировании отдельных нормотворческих полномочий Правительства Кыргызской Республики ряду государственных органов исполнительной власти», в целях обеспечения единообразия со стандартами и Рекомендуемой практикой Международной организации гражданской авиации (ИКАО), а также в целях обеспечения принятия авиаперевозчиком своевременных мер в отношении качественного предоставления обслуживания пассажиров и обеспечения безопасной перевозки на борту воздушных судов,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приказ Министерства транспорта и коммуникаций Кыргызской Республики "Об утверждении Авиационных правил Кыргызской Республики" от 27 января 2016 года №1"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Авиационных правилах Кыргызской Республики "АПКР-20. Правила воздушных перевозок", утверждённые вышеуказанным приказом: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2.7.1.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«2.7.1. С каждого пассажира, вылетающего из аэропортов Кыргызской Республики международным рейсом, могут взиматься аэропортовые сборы и административный сборы в соответствии с законодательством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 уплаты аэропортовых сборов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2-х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с 2 до 12 лет (50% от соответствующего сбора, установленного для одного взрослого пассажира);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 уплаты административного сбора «код HL» освобождаются: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транзитные/трансферные пассажиры, имеющие право покидать транзитную зону на срок не более 24 часов или, совершающие вынужденную остановку в промежуточном аэропорту с целью ожидания продолжения полета не более 72 часов;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дети до 2-х лет».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2.8.2. слова «неблагоприятных погодных условий в пункте отправления, назначения или по маршруту перевозки, а также других явлений»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2.11.9, 2.11.10 пункта 2.11 после слов «по вине авиаперевозчика» дополнить следующими словами: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том числе вследствие неблагоприятных метеорологических условий, по техническим и другим причинам»;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2.11.11.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«Авиаперевозчик должен предоставлять пассажирам бесплатно питание, место в гостинице, и транспорт независимо от продолжительности задержки, при условии соблюдения требований подпунктов 2.11.9, 2.11.10»;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2.13.2.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«Процедуры досмотра, регистрации, контроля и другие виды оформления пассажиров на вылет в аэропорту заканчивается, как правило,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- 60 минут до времени вылета на международные рейсы, если иное не установлено авиаперевозчиком;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- 40 минут до времени вылета на внутренние рейсы, если иное не установлено авиаперевозчиком»;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пункта 4.7. дополнить пунктом 4.8.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«4.8. Вес пассажира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4.8.1. Для расчета веса коммерческой загрузки, которая входит во взлетную массу воздушного судна, средний вес взрослого пассажира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на зимнее время расписание вес взрослого пассажира считать равным 80 (восемьдесят)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переходе на летнее расписание вес взрослого пассажира считать равным 75 (семьдесят пять)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Вес детей, независимо от сезона года,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возрасте до двух лет 15 (пятнадцать) килограмм;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двух до двенадцати лет 30 (тридцать) килограмм.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абзацы четвертый, восьмой пункта 9.3.1. после слов «В случае задержки рейса» дополнить словами «вследствие неблагоприятных метеорологических условий, по техническим и другим причинам» далее по тексту;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таблице 1 приложении 1 Авиационных правилах Кыргызской Республики "АПКР-20. Правила воздушных перевозок", утверждённые вышеуказанным приказом слово «Туристический» заменить на «Экономический».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настоящий приказ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Агентству гражданской авиации при Министерстве транспорта и дорог Кыргызской Республики принять к исполнению настоящий приказ.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министра транспорта и дорог Кыргызской Республики Ж.А. Ногойбаева.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Калилов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cgw44u2juftoqxqjm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dalil.kg/document/200260</w:t>
      </w:r>
    </w:hyperlink>
  </w:p>
  <w:p>
    <w:pPr>
      <w:spacing w:after="0" w:before="40"/>
      <w:jc w:val="center"/>
    </w:pPr>
    <w:hyperlink w:history="1" r:id="rIdxgu5du29noanas3r0ox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-up6ei_qutpkf6ttr6h" Type="http://schemas.openxmlformats.org/officeDocument/2006/relationships/hyperlink" Target="https://dalil.kg/document/200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cgw44u2juftoqxqjm3e" Type="http://schemas.openxmlformats.org/officeDocument/2006/relationships/hyperlink" Target="https://dalil.kg/document/200260" TargetMode="External"/><Relationship Id="rIdxgu5du29noanas3r0oxm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2026-10-05T14:15:14.678Z</dcterms:created>
  <dcterms:modified xsi:type="dcterms:W3CDTF">2026-10-05T14:15:14.679Z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