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7</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Административный регламент государственной услуги, предоставляемый  Государственным агентством интеллектуальной собственности и инноваций </w:t>
      </w:r>
    </w:p>
    <w:p>
      <w:pPr>
        <w:spacing w:after="240" w:before="200"/>
        <w:jc w:val="center"/>
      </w:pPr>
      <w:r>
        <w:rPr>
          <w:rFonts w:ascii="Arial" w:cs="Arial" w:eastAsia="Arial" w:hAnsi="Arial"/>
          <w:b/>
          <w:bCs/>
          <w:sz w:val="32"/>
          <w:szCs w:val="32"/>
        </w:rPr>
        <w:t xml:space="preserve">при Кабинете Министров Кыргызской Республики (Кыргызпатент)</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p>
    <w:p>
      <w:pPr>
        <w:spacing w:after="120"/>
        <w:ind w:firstLine="708"/>
        <w:jc w:val="right"/>
      </w:pPr>
      <w:r>
        <w:rPr>
          <w:rFonts w:ascii="Arial" w:cs="Arial" w:eastAsia="Arial" w:hAnsi="Arial"/>
          <w:sz w:val="24"/>
          <w:szCs w:val="24"/>
        </w:rPr>
        <w:t xml:space="preserve">Приказом № 300 от «24» декабря 2021 г.</w:t>
      </w:r>
    </w:p>
    <w:p>
      <w:pPr>
        <w:spacing w:after="120"/>
        <w:ind w:firstLine="708"/>
        <w:jc w:val="right"/>
      </w:pPr>
      <w:r>
        <w:rPr>
          <w:rFonts w:ascii="Arial" w:cs="Arial" w:eastAsia="Arial" w:hAnsi="Arial"/>
          <w:sz w:val="24"/>
          <w:szCs w:val="24"/>
        </w:rPr>
        <w:t xml:space="preserve">___________________________________</w:t>
      </w:r>
    </w:p>
    <w:p>
      <w:pPr>
        <w:spacing w:after="120"/>
        <w:jc w:val="right"/>
      </w:pPr>
      <w:r>
        <w:rPr>
          <w:rFonts w:ascii="Arial" w:cs="Arial" w:eastAsia="Arial" w:hAnsi="Arial"/>
          <w:sz w:val="24"/>
          <w:szCs w:val="24"/>
        </w:rPr>
        <w:t xml:space="preserve">Директор Государственного агентства интеллектуальной собственности и инноваций при Кабинете Министров Кыргызской Республики (Кыргызпатент)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Предоставление информации по вопросам интеллектуальной собственности и ее коммерциализации </w:t>
      </w:r>
      <w:r>
        <w:rPr>
          <w:rFonts w:ascii="Arial" w:cs="Arial" w:eastAsia="Arial" w:hAnsi="Arial"/>
          <w:b/>
          <w:bCs/>
          <w:sz w:val="24"/>
          <w:szCs w:val="24"/>
        </w:rPr>
        <w:t xml:space="preserve">пункт 18 глава 6 Единого реестра (перечня) государственных услуг</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Предоставление данной государственной услуги осуществляется Государственным фондом интеллектуальной собственности (далее - Госфонд ИС) при  Государственном агентстве интеллектуальной собственности и инноваций при Кабинете Министров Кыргызской Республики (далее - Кыргызпатент).</w:t>
      </w:r>
    </w:p>
    <w:p>
      <w:pPr>
        <w:spacing w:after="120"/>
        <w:ind w:firstLine="567"/>
        <w:jc w:val="both"/>
      </w:pPr>
      <w:r>
        <w:rPr>
          <w:rFonts w:ascii="Arial" w:cs="Arial" w:eastAsia="Arial" w:hAnsi="Arial"/>
          <w:sz w:val="24"/>
          <w:szCs w:val="24"/>
        </w:rPr>
        <w:t xml:space="preserve">2. Административный регламент данной услуги соответствует главе 11 раздела V стандарта услуги, утвержденного постановлением Правительства Кыргызской Республики от «3» июня 2014 года № 303.</w:t>
      </w:r>
    </w:p>
    <w:p>
      <w:pPr>
        <w:spacing w:after="120"/>
        <w:ind w:firstLine="567"/>
        <w:jc w:val="both"/>
      </w:pPr>
      <w:r>
        <w:rPr>
          <w:rFonts w:ascii="Arial" w:cs="Arial" w:eastAsia="Arial" w:hAnsi="Arial"/>
          <w:sz w:val="24"/>
          <w:szCs w:val="24"/>
        </w:rPr>
        <w:t xml:space="preserve">3. Ключевые параметры, заданные стандартом услуги:</w:t>
      </w:r>
    </w:p>
    <w:p>
      <w:pPr>
        <w:spacing w:after="120"/>
        <w:jc w:val="both"/>
      </w:pPr>
      <w:r>
        <w:rPr>
          <w:rFonts w:ascii="Arial" w:cs="Arial" w:eastAsia="Arial" w:hAnsi="Arial"/>
          <w:sz w:val="24"/>
          <w:szCs w:val="24"/>
        </w:rPr>
        <w:t xml:space="preserve">Предельное время на прием документов у потребителя услуги в бумажной или в электронной форме – до 5 минут.</w:t>
      </w:r>
    </w:p>
    <w:p>
      <w:pPr>
        <w:spacing w:after="120"/>
        <w:jc w:val="both"/>
      </w:pPr>
      <w:r>
        <w:rPr>
          <w:rFonts w:ascii="Arial" w:cs="Arial" w:eastAsia="Arial" w:hAnsi="Arial"/>
          <w:sz w:val="24"/>
          <w:szCs w:val="24"/>
        </w:rPr>
        <w:t xml:space="preserve">Уведомление о принятом решении, по заявлению поданной в электронной форме посредством Государственного портала электронных услуг (ГПЭУ) направляется потребителю услуги – до 15 минут с момента поступления заявления. </w:t>
      </w:r>
    </w:p>
    <w:p>
      <w:pPr>
        <w:spacing w:after="120"/>
        <w:jc w:val="both"/>
      </w:pPr>
      <w:r>
        <w:rPr>
          <w:rFonts w:ascii="Arial" w:cs="Arial" w:eastAsia="Arial" w:hAnsi="Arial"/>
          <w:sz w:val="24"/>
          <w:szCs w:val="24"/>
        </w:rPr>
        <w:t xml:space="preserve">Общий срок предоставления услуги – в течение 1 рабочего дня.</w:t>
      </w:r>
    </w:p>
    <w:p>
      <w:pPr>
        <w:spacing w:after="120"/>
        <w:jc w:val="both"/>
      </w:pPr>
      <w:r>
        <w:rPr>
          <w:rFonts w:ascii="Arial" w:cs="Arial" w:eastAsia="Arial" w:hAnsi="Arial"/>
          <w:sz w:val="24"/>
          <w:szCs w:val="24"/>
        </w:rPr>
        <w:t xml:space="preserve">Перечень документов, необходимых для получения услуги:</w:t>
      </w:r>
    </w:p>
    <w:p>
      <w:pPr>
        <w:spacing w:after="120"/>
        <w:jc w:val="both"/>
      </w:pPr>
      <w:r>
        <w:rPr>
          <w:rFonts w:ascii="Arial" w:cs="Arial" w:eastAsia="Arial" w:hAnsi="Arial"/>
          <w:sz w:val="24"/>
          <w:szCs w:val="24"/>
        </w:rPr>
        <w:t xml:space="preserve">а) заявление установленного образца, с указанием темы запроса;</w:t>
      </w:r>
    </w:p>
    <w:p>
      <w:pPr>
        <w:spacing w:after="120"/>
        <w:jc w:val="both"/>
      </w:pPr>
      <w:r>
        <w:rPr>
          <w:rFonts w:ascii="Arial" w:cs="Arial" w:eastAsia="Arial" w:hAnsi="Arial"/>
          <w:sz w:val="24"/>
          <w:szCs w:val="24"/>
        </w:rPr>
        <w:t xml:space="preserve">б) документ, удостоверяющий личность при личном обращении. </w:t>
      </w:r>
    </w:p>
    <w:p>
      <w:pPr>
        <w:spacing w:after="120"/>
        <w:jc w:val="both"/>
      </w:pPr>
      <w:r>
        <w:rPr>
          <w:rFonts w:ascii="Arial" w:cs="Arial" w:eastAsia="Arial" w:hAnsi="Arial"/>
          <w:sz w:val="24"/>
          <w:szCs w:val="24"/>
        </w:rPr>
        <w:t xml:space="preserve">Услуга предоставляется на бесплатной основе.</w:t>
      </w:r>
    </w:p>
    <w:p>
      <w:pPr>
        <w:spacing w:after="120"/>
        <w:ind w:firstLine="567"/>
        <w:jc w:val="both"/>
      </w:pPr>
      <w:r>
        <w:rPr>
          <w:rFonts w:ascii="Arial" w:cs="Arial" w:eastAsia="Arial" w:hAnsi="Arial"/>
          <w:sz w:val="24"/>
          <w:szCs w:val="24"/>
        </w:rPr>
        <w:t xml:space="preserve">Результат услуги: Информация в бумажном или электронном формате. Устная консультация.</w:t>
      </w:r>
    </w:p>
    <w:p>
      <w:pPr>
        <w:spacing w:after="12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2. Перечень процедур, выполняемых в процессе предоставления услуги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 Производство услуги включает следующий набор процедур:</w:t>
      </w:r>
    </w:p>
    <w:p>
      <w:pPr>
        <w:spacing w:after="120"/>
        <w:jc w:val="right"/>
      </w:pPr>
      <w:r>
        <w:rPr>
          <w:rFonts w:ascii="Arial" w:cs="Arial" w:eastAsia="Arial" w:hAnsi="Arial"/>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5"/>
        <w:gridCol w:w="6058"/>
        <w:gridCol w:w="3535"/>
      </w:tblGrid>
      <w:tr>
        <w:tc>
          <w:tcPr>
            <w:tcW w:type="dxa" w:w="585"/>
            <w:tcBorders>
              <w:top w:val="single" w:color="CBBF9E" w:sz="4"/>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w:t>
            </w:r>
          </w:p>
        </w:tc>
        <w:tc>
          <w:tcPr>
            <w:tcW w:type="dxa" w:w="605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Название процедуры</w:t>
            </w:r>
          </w:p>
        </w:tc>
        <w:tc>
          <w:tcPr>
            <w:tcW w:type="dxa" w:w="353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r>
        <w:tc>
          <w:tcPr>
            <w:tcW w:type="dxa" w:w="58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21.</w:t>
            </w:r>
          </w:p>
        </w:tc>
        <w:tc>
          <w:tcPr>
            <w:tcW w:type="dxa" w:w="60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регистрация, рассмотрение заявления</w:t>
            </w:r>
          </w:p>
        </w:tc>
        <w:tc>
          <w:tcPr>
            <w:tcW w:type="dxa" w:w="3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t>
            </w:r>
            <w:r>
              <w:rPr>
                <w:rFonts w:ascii="Arial" w:cs="Arial" w:eastAsia="Arial" w:hAnsi="Arial"/>
                <w:sz w:val="24"/>
                <w:szCs w:val="24"/>
              </w:rPr>
              <w:t xml:space="preserve">личное обращение; </w:t>
            </w:r>
          </w:p>
          <w:p>
            <w:pPr>
              <w:jc w:val="left"/>
            </w:pPr>
            <w:r>
              <w:rPr>
                <w:rFonts w:ascii="Arial" w:cs="Arial" w:eastAsia="Arial" w:hAnsi="Arial"/>
                <w:sz w:val="24"/>
                <w:szCs w:val="24"/>
              </w:rPr>
              <w:t xml:space="preserve">-  через ГПЭУ</w:t>
            </w:r>
          </w:p>
        </w:tc>
      </w:tr>
      <w:tr>
        <w:tc>
          <w:tcPr>
            <w:tcW w:type="dxa" w:w="58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32.</w:t>
            </w:r>
          </w:p>
        </w:tc>
        <w:tc>
          <w:tcPr>
            <w:tcW w:type="dxa" w:w="60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информации по запросу потребителя по вопросам интеллек</w:t>
            </w:r>
            <w:r>
              <w:rPr>
                <w:rFonts w:ascii="Arial" w:cs="Arial" w:eastAsia="Arial" w:hAnsi="Arial"/>
                <w:sz w:val="24"/>
                <w:szCs w:val="24"/>
              </w:rPr>
              <w:t xml:space="preserve">т</w:t>
            </w:r>
            <w:r>
              <w:rPr>
                <w:rFonts w:ascii="Arial" w:cs="Arial" w:eastAsia="Arial" w:hAnsi="Arial"/>
                <w:sz w:val="24"/>
                <w:szCs w:val="24"/>
              </w:rPr>
              <w:t xml:space="preserve">уальной собственности и ее коммерциализации</w:t>
            </w:r>
          </w:p>
        </w:tc>
        <w:tc>
          <w:tcPr>
            <w:tcW w:type="dxa" w:w="3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t>
            </w:r>
            <w:r>
              <w:rPr>
                <w:rFonts w:ascii="Arial" w:cs="Arial" w:eastAsia="Arial" w:hAnsi="Arial"/>
                <w:sz w:val="24"/>
                <w:szCs w:val="24"/>
              </w:rPr>
              <w:t xml:space="preserve">личное обращение; </w:t>
            </w:r>
          </w:p>
          <w:p>
            <w:pPr>
              <w:jc w:val="left"/>
            </w:pPr>
            <w:r>
              <w:rPr>
                <w:rFonts w:ascii="Arial" w:cs="Arial" w:eastAsia="Arial" w:hAnsi="Arial"/>
                <w:sz w:val="24"/>
                <w:szCs w:val="24"/>
              </w:rPr>
              <w:t xml:space="preserve">-  через ГПЭУ</w:t>
            </w:r>
          </w:p>
        </w:tc>
      </w:tr>
    </w:tbl>
    <w:p>
      <w:pPr>
        <w:spacing w:after="120"/>
        <w:ind w:firstLine="567"/>
        <w:jc w:val="both"/>
      </w:pPr>
      <w:r>
        <w:rPr>
          <w:rFonts w:ascii="Arial" w:cs="Arial" w:eastAsia="Arial" w:hAnsi="Arial"/>
          <w:sz w:val="24"/>
          <w:szCs w:val="24"/>
        </w:rPr>
        <w:t xml:space="preserve"/>
      </w:r>
    </w:p>
    <w:p>
      <w:pPr>
        <w:spacing/>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3. Блок-схема взаимосвязи процедур</w:t>
      </w:r>
    </w:p>
    <w:p>
      <w:pPr>
        <w:spacing/>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Описание процедур и их характеристики</w:t>
      </w:r>
    </w:p>
    <w:p>
      <w:pPr>
        <w:spacing w:after="120"/>
        <w:jc w:val="center"/>
      </w:pPr>
      <w:r>
        <w:rPr>
          <w:rFonts w:ascii="Arial" w:cs="Arial" w:eastAsia="Arial" w:hAnsi="Arial"/>
          <w:sz w:val="24"/>
          <w:szCs w:val="24"/>
        </w:rPr>
        <w:t xml:space="preserve"/>
      </w:r>
    </w:p>
    <w:p>
      <w:pPr>
        <w:spacing w:after="120"/>
        <w:ind w:firstLine="708"/>
        <w:jc w:val="center"/>
      </w:pPr>
      <w:r>
        <w:rPr>
          <w:rFonts w:ascii="Arial" w:cs="Arial" w:eastAsia="Arial" w:hAnsi="Arial"/>
          <w:sz w:val="24"/>
          <w:szCs w:val="24"/>
        </w:rPr>
        <w:t xml:space="preserve">Таблица 2</w:t>
      </w:r>
    </w:p>
    <w:p>
      <w:pPr>
        <w:spacing w:after="120"/>
        <w:ind w:firstLine="708"/>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45"/>
        <w:gridCol w:w="1682"/>
        <w:gridCol w:w="1486"/>
        <w:gridCol w:w="2078"/>
        <w:gridCol w:w="1745"/>
        <w:gridCol w:w="42"/>
      </w:tblGrid>
      <w:tr>
        <w:tc>
          <w:tcPr>
            <w:tcW w:type="dxa" w:w="314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16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14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20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c>
          <w:tcPr>
            <w:tcW w:type="dxa" w:w="17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действий</w:t>
            </w:r>
          </w:p>
        </w:tc>
        <w:tc>
          <w:tcPr>
            <w:tcW w:type="dxa" w:w="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1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36"/>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Прием, регистрация, рассмотрение заявления</w:t>
            </w:r>
          </w:p>
          <w:p>
            <w:pPr>
              <w:jc w:val="center"/>
            </w:pPr>
            <w:r>
              <w:rPr>
                <w:rFonts w:ascii="Arial" w:cs="Arial" w:eastAsia="Arial" w:hAnsi="Arial"/>
                <w:sz w:val="24"/>
                <w:szCs w:val="24"/>
              </w:rPr>
              <w:t xml:space="preserve"/>
            </w:r>
          </w:p>
        </w:tc>
        <w:tc>
          <w:tcPr>
            <w:tcW w:type="dxa" w:w="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1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Основанием для начала предоставления услуги является обращение потребителя услуги</w:t>
            </w:r>
          </w:p>
        </w:tc>
        <w:tc>
          <w:tcPr>
            <w:tcW w:type="dxa" w:w="168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ведущий специалисты отдела  </w:t>
            </w:r>
          </w:p>
          <w:p>
            <w:pPr>
              <w:jc w:val="both"/>
            </w:pPr>
            <w:r>
              <w:rPr>
                <w:rFonts w:ascii="Arial" w:cs="Arial" w:eastAsia="Arial" w:hAnsi="Arial"/>
                <w:sz w:val="24"/>
                <w:szCs w:val="24"/>
              </w:rPr>
              <w:t xml:space="preserve"/>
            </w: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Положение о Государственном фонде интеллектуальной собственности при </w:t>
            </w:r>
            <w:r>
              <w:rPr>
                <w:rFonts w:ascii="Arial" w:cs="Arial" w:eastAsia="Arial" w:hAnsi="Arial"/>
                <w:sz w:val="24"/>
                <w:szCs w:val="24"/>
              </w:rPr>
              <w:t xml:space="preserve">Кыргызпатенте;</w:t>
            </w:r>
          </w:p>
          <w:p>
            <w:pPr>
              <w:jc w:val="both"/>
            </w:pPr>
            <w:r>
              <w:rPr>
                <w:rFonts w:ascii="Arial" w:cs="Arial" w:eastAsia="Arial" w:hAnsi="Arial"/>
                <w:sz w:val="24"/>
                <w:szCs w:val="24"/>
              </w:rPr>
              <w:t xml:space="preserve">Положение о Центре поддержки технологий и инноваций на базе Государственного </w:t>
            </w:r>
          </w:p>
          <w:p>
            <w:pPr>
              <w:jc w:val="both"/>
            </w:pPr>
            <w:r>
              <w:rPr>
                <w:rFonts w:ascii="Arial" w:cs="Arial" w:eastAsia="Arial" w:hAnsi="Arial"/>
                <w:sz w:val="24"/>
                <w:szCs w:val="24"/>
              </w:rPr>
              <w:t xml:space="preserve">фонда интеллектуальной собственности при </w:t>
            </w:r>
            <w:r>
              <w:rPr>
                <w:rFonts w:ascii="Arial" w:cs="Arial" w:eastAsia="Arial" w:hAnsi="Arial"/>
                <w:sz w:val="24"/>
                <w:szCs w:val="24"/>
              </w:rPr>
              <w:t xml:space="preserve">Кыргызпатенте;</w:t>
            </w:r>
          </w:p>
          <w:p>
            <w:pPr>
              <w:jc w:val="left"/>
            </w:pPr>
            <w:r>
              <w:rPr>
                <w:rFonts w:ascii="Arial" w:cs="Arial" w:eastAsia="Arial" w:hAnsi="Arial"/>
                <w:sz w:val="24"/>
                <w:szCs w:val="24"/>
              </w:rPr>
              <w:t xml:space="preserve">Положение об отделе</w:t>
            </w:r>
          </w:p>
        </w:tc>
        <w:tc>
          <w:tcPr>
            <w:tcW w:type="dxa" w:w="1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1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 При обращении потребителя в личной или электронной форме посредством ГПЭУ принятое к рассмотрению заявление зарегистрировать в журнале входящих документов и внести информацию в систему электронного документооборота.</w:t>
            </w:r>
          </w:p>
          <w:p>
            <w:pPr>
              <w:jc w:val="both"/>
            </w:pPr>
            <w:r>
              <w:rPr>
                <w:rFonts w:ascii="Arial" w:cs="Arial" w:eastAsia="Arial" w:hAnsi="Arial"/>
                <w:sz w:val="24"/>
                <w:szCs w:val="24"/>
              </w:rPr>
              <w:t xml:space="preserve">При личном обращении установить личность  потребителя услуги по документу, удостоверяющего личность.</w:t>
            </w:r>
          </w:p>
        </w:tc>
        <w:tc>
          <w:tcPr>
            <w:vMerge w:val="continue"/>
            <w:tcBorders>
              <w:top w:val="none" w:color="auto" w:sz="0"/>
              <w:left w:val="none" w:color="auto" w:sz="0"/>
              <w:bottom w:val="single" w:color="CBBF9E" w:sz="4"/>
              <w:right w:val="single" w:color="CBBF9E" w:sz="4"/>
            </w:tcBorders>
          </w:tcP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мин</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регистрация, рассмотрение заявления</w:t>
            </w:r>
          </w:p>
        </w:tc>
        <w:tc>
          <w:tcPr>
            <w:tcW w:type="dxa" w:w="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1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 Потребителю услуги, направляется уведомление о принятом решении по предоставлению услуги тем же способом, каким было получено заявление.</w:t>
            </w:r>
          </w:p>
          <w:p>
            <w:pPr>
              <w:jc w:val="both"/>
            </w:pPr>
            <w:r>
              <w:rPr>
                <w:rFonts w:ascii="Arial" w:cs="Arial" w:eastAsia="Arial" w:hAnsi="Arial"/>
                <w:sz w:val="24"/>
                <w:szCs w:val="24"/>
              </w:rPr>
              <w:t xml:space="preserve">Отказ в предоставлении услуги производится в случаях: </w:t>
            </w:r>
          </w:p>
          <w:p>
            <w:pPr>
              <w:jc w:val="both"/>
            </w:pPr>
            <w:r>
              <w:rPr>
                <w:rFonts w:ascii="Arial" w:cs="Arial" w:eastAsia="Arial" w:hAnsi="Arial"/>
                <w:sz w:val="24"/>
                <w:szCs w:val="24"/>
              </w:rPr>
              <w:t xml:space="preserve">- отсутствия документа, удостоверяющего личность (личное обращение);</w:t>
            </w:r>
          </w:p>
          <w:p>
            <w:pPr>
              <w:jc w:val="both"/>
            </w:pPr>
            <w:r>
              <w:rPr>
                <w:rFonts w:ascii="Arial" w:cs="Arial" w:eastAsia="Arial" w:hAnsi="Arial"/>
                <w:sz w:val="24"/>
                <w:szCs w:val="24"/>
              </w:rPr>
              <w:t xml:space="preserve">- в связи с отсутствием информации;</w:t>
            </w:r>
          </w:p>
          <w:p>
            <w:pPr>
              <w:jc w:val="both"/>
            </w:pPr>
            <w:r>
              <w:rPr>
                <w:rFonts w:ascii="Arial" w:cs="Arial" w:eastAsia="Arial" w:hAnsi="Arial"/>
                <w:sz w:val="24"/>
                <w:szCs w:val="24"/>
              </w:rPr>
              <w:t xml:space="preserve">- конфиденциальности предоставляемой информации;</w:t>
            </w:r>
          </w:p>
          <w:p>
            <w:pPr>
              <w:jc w:val="both"/>
            </w:pPr>
            <w:r>
              <w:rPr>
                <w:rFonts w:ascii="Arial" w:cs="Arial" w:eastAsia="Arial" w:hAnsi="Arial"/>
                <w:sz w:val="24"/>
                <w:szCs w:val="24"/>
              </w:rPr>
              <w:t xml:space="preserve">- если текст запроса не поддается прочтению</w:t>
            </w:r>
          </w:p>
        </w:tc>
        <w:tc>
          <w:tcPr>
            <w:vMerge w:val="continue"/>
            <w:tcBorders>
              <w:top w:val="none" w:color="auto" w:sz="0"/>
              <w:left w:val="none" w:color="auto" w:sz="0"/>
              <w:bottom w:val="single" w:color="CBBF9E" w:sz="4"/>
              <w:right w:val="single" w:color="CBBF9E" w:sz="4"/>
            </w:tcBorders>
          </w:tcP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личное обращение – незамедлительно;</w:t>
            </w:r>
          </w:p>
          <w:p>
            <w:pPr>
              <w:jc w:val="left"/>
            </w:pPr>
            <w:r>
              <w:rPr>
                <w:rFonts w:ascii="Arial" w:cs="Arial" w:eastAsia="Arial" w:hAnsi="Arial"/>
                <w:sz w:val="24"/>
                <w:szCs w:val="24"/>
              </w:rPr>
              <w:t xml:space="preserve">- в электронной форме - 15 минут</w:t>
            </w:r>
          </w:p>
          <w:p>
            <w:pPr>
              <w:jc w:val="left"/>
            </w:pPr>
            <w:r>
              <w:rPr>
                <w:rFonts w:ascii="Arial" w:cs="Arial" w:eastAsia="Arial" w:hAnsi="Arial"/>
                <w:sz w:val="24"/>
                <w:szCs w:val="24"/>
              </w:rPr>
              <w:t xml:space="preserve">с момента поступления заявления</w:t>
            </w:r>
          </w:p>
        </w:tc>
        <w:tc>
          <w:tcPr>
            <w:vMerge w:val="continue"/>
            <w:tcBorders>
              <w:top w:val="none" w:color="auto" w:sz="0"/>
              <w:left w:val="none" w:color="auto" w:sz="0"/>
              <w:bottom w:val="single" w:color="CBBF9E" w:sz="4"/>
              <w:right w:val="single" w:color="CBBF9E" w:sz="4"/>
            </w:tcBorders>
          </w:tcPr>
          <w:p/>
        </w:tc>
        <w:tc>
          <w:tcPr>
            <w:tcW w:type="dxa" w:w="1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Уведомление о принятом решении: </w:t>
            </w:r>
          </w:p>
          <w:p>
            <w:pPr>
              <w:jc w:val="left"/>
            </w:pPr>
            <w:r>
              <w:rPr>
                <w:rFonts w:ascii="Arial" w:cs="Arial" w:eastAsia="Arial" w:hAnsi="Arial"/>
                <w:sz w:val="24"/>
                <w:szCs w:val="24"/>
              </w:rPr>
              <w:t xml:space="preserve">1. Предоставление услуги.</w:t>
            </w:r>
          </w:p>
          <w:p>
            <w:pPr>
              <w:jc w:val="left"/>
            </w:pPr>
            <w:r>
              <w:rPr>
                <w:rFonts w:ascii="Arial" w:cs="Arial" w:eastAsia="Arial" w:hAnsi="Arial"/>
                <w:sz w:val="24"/>
                <w:szCs w:val="24"/>
              </w:rPr>
              <w:t xml:space="preserve">2. Отказ в предоставлении услуги</w:t>
            </w:r>
          </w:p>
        </w:tc>
        <w:tc>
          <w:tcPr>
            <w:tcW w:type="dxa" w:w="4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1017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w:t>
            </w:r>
          </w:p>
          <w:p>
            <w:pPr>
              <w:jc w:val="both"/>
            </w:pPr>
            <w:r>
              <w:rPr>
                <w:rFonts w:ascii="Arial" w:cs="Arial" w:eastAsia="Arial" w:hAnsi="Arial"/>
                <w:sz w:val="24"/>
                <w:szCs w:val="24"/>
              </w:rPr>
              <w:t xml:space="preserve">- регистрация заявления в журнале входящих документов;</w:t>
            </w:r>
          </w:p>
          <w:p>
            <w:pPr>
              <w:jc w:val="both"/>
            </w:pPr>
            <w:r>
              <w:rPr>
                <w:rFonts w:ascii="Arial" w:cs="Arial" w:eastAsia="Arial" w:hAnsi="Arial"/>
                <w:sz w:val="24"/>
                <w:szCs w:val="24"/>
              </w:rPr>
              <w:t xml:space="preserve">- регистрация отказа в предоставлении услуги</w:t>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w:t>
            </w:r>
          </w:p>
          <w:p>
            <w:pPr>
              <w:jc w:val="left"/>
            </w:pPr>
            <w:r>
              <w:rPr>
                <w:rFonts w:ascii="Arial" w:cs="Arial" w:eastAsia="Arial" w:hAnsi="Arial"/>
                <w:sz w:val="24"/>
                <w:szCs w:val="24"/>
              </w:rPr>
              <w:t xml:space="preserve">- при личном обращении – незамедлительно;</w:t>
            </w:r>
          </w:p>
          <w:p>
            <w:pPr>
              <w:jc w:val="left"/>
            </w:pPr>
            <w:r>
              <w:rPr>
                <w:rFonts w:ascii="Arial" w:cs="Arial" w:eastAsia="Arial" w:hAnsi="Arial"/>
                <w:sz w:val="24"/>
                <w:szCs w:val="24"/>
              </w:rPr>
              <w:t xml:space="preserve">- в электронной форме посредством ГПЭУ – 20 минут</w:t>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 Административный</w:t>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2</w:t>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Способ передачи результата процедуры для начала следующей процедуры: Вручную/посредством электронного документооборота</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Предоставление информации по запросу потребителя </w:t>
            </w:r>
          </w:p>
        </w:tc>
      </w:tr>
      <w:tr>
        <w:tc>
          <w:tcPr>
            <w:tcW w:type="dxa" w:w="31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 При личном обращении предоставляется консультация по  необходимой теме. </w:t>
            </w:r>
          </w:p>
          <w:p>
            <w:pPr>
              <w:jc w:val="both"/>
            </w:pPr>
            <w:r>
              <w:rPr>
                <w:rFonts w:ascii="Arial" w:cs="Arial" w:eastAsia="Arial" w:hAnsi="Arial"/>
                <w:sz w:val="24"/>
                <w:szCs w:val="24"/>
              </w:rPr>
              <w:t xml:space="preserve">При запросе в электронной форме ответ на запрос направляется через ГПЭУ.</w:t>
            </w:r>
          </w:p>
          <w:p>
            <w:pPr>
              <w:jc w:val="both"/>
            </w:pPr>
            <w:r>
              <w:rPr>
                <w:rFonts w:ascii="Arial" w:cs="Arial" w:eastAsia="Arial" w:hAnsi="Arial"/>
                <w:sz w:val="24"/>
                <w:szCs w:val="24"/>
              </w:rPr>
              <w:t xml:space="preserve">В случае некомпетентности запроса потребителю отказывается в предоставлении услуги</w:t>
            </w:r>
          </w:p>
          <w:p>
            <w:pPr>
              <w:jc w:val="both"/>
            </w:pPr>
            <w:r>
              <w:rPr>
                <w:rFonts w:ascii="Arial" w:cs="Arial" w:eastAsia="Arial" w:hAnsi="Arial"/>
                <w:sz w:val="24"/>
                <w:szCs w:val="24"/>
              </w:rPr>
              <w:t xml:space="preserve"/>
            </w:r>
          </w:p>
        </w:tc>
        <w:tc>
          <w:tcPr>
            <w:tcW w:type="dxa" w:w="1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ведущий специалисты отдела  </w:t>
            </w:r>
          </w:p>
          <w:p>
            <w:pPr>
              <w:jc w:val="both"/>
            </w:pPr>
            <w:r>
              <w:rPr>
                <w:rFonts w:ascii="Arial" w:cs="Arial" w:eastAsia="Arial" w:hAnsi="Arial"/>
                <w:sz w:val="24"/>
                <w:szCs w:val="24"/>
              </w:rPr>
              <w:t xml:space="preserve"/>
            </w: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рабочего времени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0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Положение о Государственном фонде интеллектуальной собственности при </w:t>
            </w:r>
            <w:r>
              <w:rPr>
                <w:rFonts w:ascii="Arial" w:cs="Arial" w:eastAsia="Arial" w:hAnsi="Arial"/>
                <w:sz w:val="24"/>
                <w:szCs w:val="24"/>
              </w:rPr>
              <w:t xml:space="preserve">Кыргызпатенте;</w:t>
            </w:r>
          </w:p>
          <w:p>
            <w:pPr>
              <w:jc w:val="both"/>
            </w:pPr>
            <w:r>
              <w:rPr>
                <w:rFonts w:ascii="Arial" w:cs="Arial" w:eastAsia="Arial" w:hAnsi="Arial"/>
                <w:sz w:val="24"/>
                <w:szCs w:val="24"/>
              </w:rPr>
              <w:t xml:space="preserve">Положение о Центре поддержки технологий и инноваций на базе Государственного </w:t>
            </w:r>
          </w:p>
          <w:p>
            <w:pPr>
              <w:jc w:val="both"/>
            </w:pPr>
            <w:r>
              <w:rPr>
                <w:rFonts w:ascii="Arial" w:cs="Arial" w:eastAsia="Arial" w:hAnsi="Arial"/>
                <w:sz w:val="24"/>
                <w:szCs w:val="24"/>
              </w:rPr>
              <w:t xml:space="preserve">фонда интеллектуальной собственности при </w:t>
            </w:r>
            <w:r>
              <w:rPr>
                <w:rFonts w:ascii="Arial" w:cs="Arial" w:eastAsia="Arial" w:hAnsi="Arial"/>
                <w:sz w:val="24"/>
                <w:szCs w:val="24"/>
              </w:rPr>
              <w:t xml:space="preserve">Кыргызпатенте;</w:t>
            </w:r>
          </w:p>
          <w:p>
            <w:pPr>
              <w:jc w:val="left"/>
            </w:pPr>
            <w:r>
              <w:rPr>
                <w:rFonts w:ascii="Arial" w:cs="Arial" w:eastAsia="Arial" w:hAnsi="Arial"/>
                <w:sz w:val="24"/>
                <w:szCs w:val="24"/>
              </w:rPr>
              <w:t xml:space="preserve">Положение об отделе</w:t>
            </w:r>
          </w:p>
        </w:tc>
        <w:tc>
          <w:tcPr>
            <w:tcW w:type="dxa" w:w="178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Проведение консультации. </w:t>
            </w:r>
          </w:p>
          <w:p>
            <w:pPr>
              <w:jc w:val="left"/>
            </w:pPr>
            <w:r>
              <w:rPr>
                <w:rFonts w:ascii="Arial" w:cs="Arial" w:eastAsia="Arial" w:hAnsi="Arial"/>
                <w:sz w:val="24"/>
                <w:szCs w:val="24"/>
              </w:rPr>
              <w:t xml:space="preserve">2. Отказ</w:t>
            </w:r>
            <w:r>
              <w:rPr>
                <w:rFonts w:ascii="Arial" w:cs="Arial" w:eastAsia="Arial" w:hAnsi="Arial"/>
                <w:sz w:val="24"/>
                <w:szCs w:val="24"/>
              </w:rPr>
              <w:t xml:space="preserve"> в предоставлении услуги</w:t>
            </w:r>
          </w:p>
          <w:p>
            <w:pPr>
              <w:jc w:val="left"/>
            </w:pPr>
            <w:r>
              <w:rPr>
                <w:rFonts w:ascii="Arial" w:cs="Arial" w:eastAsia="Arial" w:hAnsi="Arial"/>
                <w:sz w:val="24"/>
                <w:szCs w:val="24"/>
              </w:rPr>
              <w:t xml:space="preserve"/>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w:t>
            </w:r>
          </w:p>
          <w:p>
            <w:pPr>
              <w:jc w:val="left"/>
            </w:pPr>
            <w:r>
              <w:rPr>
                <w:rFonts w:ascii="Arial" w:cs="Arial" w:eastAsia="Arial" w:hAnsi="Arial"/>
                <w:sz w:val="24"/>
                <w:szCs w:val="24"/>
              </w:rPr>
              <w:t xml:space="preserve">- проведение консультации; </w:t>
            </w:r>
          </w:p>
          <w:p>
            <w:pPr>
              <w:jc w:val="left"/>
            </w:pPr>
            <w:r>
              <w:rPr>
                <w:rFonts w:ascii="Arial" w:cs="Arial" w:eastAsia="Arial" w:hAnsi="Arial"/>
                <w:sz w:val="24"/>
                <w:szCs w:val="24"/>
              </w:rPr>
              <w:t xml:space="preserve">- отказ</w:t>
            </w:r>
            <w:r>
              <w:rPr>
                <w:rFonts w:ascii="Arial" w:cs="Arial" w:eastAsia="Arial" w:hAnsi="Arial"/>
                <w:sz w:val="24"/>
                <w:szCs w:val="24"/>
              </w:rPr>
              <w:t xml:space="preserve"> в предоставлении услуги</w:t>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в течение 1 рабочего дня</w:t>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 Административный</w:t>
            </w:r>
          </w:p>
        </w:tc>
      </w:tr>
    </w:tbl>
    <w:p>
      <w:pPr>
        <w:spacing w:after="120"/>
        <w:jc w:val="right"/>
      </w:pPr>
      <w:r>
        <w:rPr>
          <w:rFonts w:ascii="Arial" w:cs="Arial" w:eastAsia="Arial" w:hAnsi="Arial"/>
          <w:sz w:val="24"/>
          <w:szCs w:val="24"/>
        </w:rPr>
        <w:t xml:space="preserve">Таблица 3</w:t>
      </w:r>
    </w:p>
    <w:p>
      <w:pPr>
        <w:spacing w:after="120"/>
        <w:jc w:val="righ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34"/>
        <w:gridCol w:w="2044"/>
      </w:tblGrid>
      <w:tr>
        <w:tc>
          <w:tcPr>
            <w:tcW w:type="dxa" w:w="813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параметра услуги</w:t>
            </w:r>
          </w:p>
        </w:tc>
        <w:tc>
          <w:tcPr>
            <w:tcW w:type="dxa" w:w="20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Числовые данные</w:t>
            </w:r>
          </w:p>
        </w:tc>
      </w:tr>
      <w:tr>
        <w:tc>
          <w:tcPr>
            <w:tcW w:type="dxa" w:w="81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Число процедур, всего:</w:t>
            </w:r>
          </w:p>
          <w:p>
            <w:pPr>
              <w:jc w:val="left"/>
            </w:pPr>
            <w:r>
              <w:rPr>
                <w:rFonts w:ascii="Arial" w:cs="Arial" w:eastAsia="Arial" w:hAnsi="Arial"/>
                <w:sz w:val="24"/>
                <w:szCs w:val="24"/>
              </w:rPr>
              <w:t xml:space="preserve">в том числе:</w:t>
            </w:r>
          </w:p>
          <w:p>
            <w:pPr>
              <w:jc w:val="left"/>
            </w:pPr>
            <w:r>
              <w:rPr>
                <w:rFonts w:ascii="Arial" w:cs="Arial" w:eastAsia="Arial" w:hAnsi="Arial"/>
                <w:sz w:val="24"/>
                <w:szCs w:val="24"/>
              </w:rPr>
              <w:t xml:space="preserve">- административных процедур;</w:t>
            </w:r>
          </w:p>
          <w:p>
            <w:pPr>
              <w:jc w:val="left"/>
            </w:pPr>
            <w:r>
              <w:rPr>
                <w:rFonts w:ascii="Arial" w:cs="Arial" w:eastAsia="Arial" w:hAnsi="Arial"/>
                <w:sz w:val="24"/>
                <w:szCs w:val="24"/>
              </w:rPr>
              <w:t xml:space="preserve">- организационно-управленческих процедур;</w:t>
            </w:r>
          </w:p>
          <w:p>
            <w:pPr>
              <w:jc w:val="left"/>
            </w:pPr>
            <w:r>
              <w:rPr>
                <w:rFonts w:ascii="Arial" w:cs="Arial" w:eastAsia="Arial" w:hAnsi="Arial"/>
                <w:sz w:val="24"/>
                <w:szCs w:val="24"/>
              </w:rPr>
              <w:t xml:space="preserve">- вспомогательных процедур;</w:t>
            </w:r>
          </w:p>
          <w:p>
            <w:pPr>
              <w:jc w:val="left"/>
            </w:pPr>
            <w:r>
              <w:rPr>
                <w:rFonts w:ascii="Arial" w:cs="Arial" w:eastAsia="Arial" w:hAnsi="Arial"/>
                <w:sz w:val="24"/>
                <w:szCs w:val="24"/>
              </w:rPr>
              <w:t xml:space="preserve">- специальных процедур</w:t>
            </w:r>
          </w:p>
        </w:tc>
        <w:tc>
          <w:tcPr>
            <w:tcW w:type="dxa" w:w="2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2</w:t>
            </w:r>
          </w:p>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w:t>
            </w:r>
          </w:p>
        </w:tc>
      </w:tr>
      <w:tr>
        <w:tc>
          <w:tcPr>
            <w:tcW w:type="dxa" w:w="81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Общая продолжительность процедур (минуты, часы, дни)</w:t>
            </w:r>
          </w:p>
        </w:tc>
        <w:tc>
          <w:tcPr>
            <w:tcW w:type="dxa" w:w="2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у потребителя – до 5 минут. </w:t>
            </w:r>
          </w:p>
          <w:p>
            <w:pPr>
              <w:jc w:val="left"/>
            </w:pPr>
            <w:r>
              <w:rPr>
                <w:rFonts w:ascii="Arial" w:cs="Arial" w:eastAsia="Arial" w:hAnsi="Arial"/>
                <w:sz w:val="24"/>
                <w:szCs w:val="24"/>
              </w:rPr>
              <w:t xml:space="preserve">Уведомление о принятом решении, по предоставлению государственной услуги – до 15 минут с момента поступления заявления. </w:t>
            </w:r>
          </w:p>
          <w:p>
            <w:pPr>
              <w:jc w:val="both"/>
            </w:pPr>
            <w:r>
              <w:rPr>
                <w:rFonts w:ascii="Arial" w:cs="Arial" w:eastAsia="Arial" w:hAnsi="Arial"/>
                <w:sz w:val="24"/>
                <w:szCs w:val="24"/>
              </w:rPr>
              <w:t xml:space="preserve">Общий срок предоставления услуги – в течение 1 рабочего дня.</w:t>
            </w:r>
          </w:p>
        </w:tc>
      </w:tr>
      <w:tr>
        <w:tc>
          <w:tcPr>
            <w:tcW w:type="dxa" w:w="81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Число процедур, выполняемых в электронном формате</w:t>
            </w:r>
          </w:p>
        </w:tc>
        <w:tc>
          <w:tcPr>
            <w:tcW w:type="dxa" w:w="2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81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Число документов, запрашиваемых у потребителя</w:t>
            </w:r>
          </w:p>
        </w:tc>
        <w:tc>
          <w:tcPr>
            <w:tcW w:type="dxa" w:w="2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81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Число сторонних организаций, участвующих в производстве услуги, всего:</w:t>
            </w:r>
          </w:p>
          <w:p>
            <w:pPr>
              <w:jc w:val="left"/>
            </w:pPr>
            <w:r>
              <w:rPr>
                <w:rFonts w:ascii="Arial" w:cs="Arial" w:eastAsia="Arial" w:hAnsi="Arial"/>
                <w:sz w:val="24"/>
                <w:szCs w:val="24"/>
              </w:rPr>
              <w:t xml:space="preserve">в том числе:</w:t>
            </w:r>
          </w:p>
          <w:p>
            <w:pPr>
              <w:jc w:val="left"/>
            </w:pPr>
            <w:r>
              <w:rPr>
                <w:rFonts w:ascii="Arial" w:cs="Arial" w:eastAsia="Arial" w:hAnsi="Arial"/>
                <w:sz w:val="24"/>
                <w:szCs w:val="24"/>
              </w:rPr>
              <w:t xml:space="preserve">- во внутриведомственном взаимодействии;</w:t>
            </w:r>
          </w:p>
          <w:p>
            <w:pPr>
              <w:jc w:val="left"/>
            </w:pPr>
            <w:r>
              <w:rPr>
                <w:rFonts w:ascii="Arial" w:cs="Arial" w:eastAsia="Arial" w:hAnsi="Arial"/>
                <w:sz w:val="24"/>
                <w:szCs w:val="24"/>
              </w:rPr>
              <w:t xml:space="preserve">- в межведомственном взаимодействии</w:t>
            </w:r>
          </w:p>
        </w:tc>
        <w:tc>
          <w:tcPr>
            <w:tcW w:type="dxa" w:w="2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Филиалы ЦПТИ</w:t>
            </w:r>
          </w:p>
          <w:p>
            <w:pPr>
              <w:jc w:val="center"/>
            </w:pPr>
            <w:r>
              <w:rPr>
                <w:rFonts w:ascii="Arial" w:cs="Arial" w:eastAsia="Arial" w:hAnsi="Arial"/>
                <w:sz w:val="24"/>
                <w:szCs w:val="24"/>
              </w:rPr>
              <w:t xml:space="preserve"/>
            </w:r>
          </w:p>
        </w:tc>
      </w:tr>
      <w:tr>
        <w:tc>
          <w:tcPr>
            <w:tcW w:type="dxa" w:w="81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Число лиц, участвующих в производстве услуги</w:t>
            </w:r>
          </w:p>
        </w:tc>
        <w:tc>
          <w:tcPr>
            <w:tcW w:type="dxa" w:w="2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81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Число документов, регулирующих производство услуги</w:t>
            </w:r>
          </w:p>
        </w:tc>
        <w:tc>
          <w:tcPr>
            <w:tcW w:type="dxa" w:w="2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81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Другое</w:t>
            </w:r>
          </w:p>
        </w:tc>
        <w:tc>
          <w:tcPr>
            <w:tcW w:type="dxa" w:w="2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120"/>
        <w:jc w:val="right"/>
      </w:pPr>
      <w:r>
        <w:rPr>
          <w:rFonts w:ascii="Arial" w:cs="Arial" w:eastAsia="Arial" w:hAnsi="Arial"/>
          <w:sz w:val="24"/>
          <w:szCs w:val="24"/>
        </w:rPr>
        <w:t xml:space="preserve"/>
      </w:r>
    </w:p>
    <w:p>
      <w:pPr>
        <w:spacing/>
        <w:jc w:val="center"/>
      </w:pPr>
      <w:r>
        <w:rPr>
          <w:rFonts w:ascii="Arial" w:cs="Arial" w:eastAsia="Arial" w:hAnsi="Arial"/>
          <w:sz w:val="24"/>
          <w:szCs w:val="24"/>
        </w:rPr>
        <w:t xml:space="preserve"/>
      </w:r>
    </w:p>
    <w:p>
      <w:pPr>
        <w:spacing/>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5. Схемы (алгоритмы) выполнения процедур 1, 2 </w:t>
      </w:r>
    </w:p>
    <w:p>
      <w:pPr>
        <w:spacing w:after="120"/>
        <w:jc w:val="center"/>
      </w:pPr>
      <w:r>
        <w:rPr>
          <w:rFonts w:ascii="Arial" w:cs="Arial" w:eastAsia="Arial" w:hAnsi="Arial"/>
          <w:sz w:val="24"/>
          <w:szCs w:val="24"/>
        </w:rPr>
        <w:t xml:space="preserve"/>
      </w:r>
    </w:p>
    <w:p>
      <w:pPr>
        <w:spacing w:after="240" w:before="200"/>
        <w:ind w:firstLine="708"/>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120"/>
        <w:ind w:firstLine="708"/>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 За исполнением требований административного регламента проводится внутренний (текущий) и внешний контроль.</w:t>
      </w:r>
    </w:p>
    <w:p>
      <w:pPr>
        <w:spacing w:after="120"/>
        <w:ind w:firstLine="709"/>
        <w:jc w:val="both"/>
      </w:pPr>
      <w:r>
        <w:rPr>
          <w:rFonts w:ascii="Arial" w:cs="Arial" w:eastAsia="Arial" w:hAnsi="Arial"/>
          <w:sz w:val="24"/>
          <w:szCs w:val="24"/>
        </w:rPr>
        <w:t xml:space="preserve">Внутренний контроль проводит исполнительный директор Госфонда ИС.</w:t>
      </w:r>
    </w:p>
    <w:p>
      <w:pPr>
        <w:spacing w:after="120"/>
        <w:ind w:firstLine="709"/>
        <w:jc w:val="both"/>
      </w:pPr>
      <w:r>
        <w:rPr>
          <w:rFonts w:ascii="Arial" w:cs="Arial" w:eastAsia="Arial" w:hAnsi="Arial"/>
          <w:sz w:val="24"/>
          <w:szCs w:val="24"/>
        </w:rPr>
        <w:t xml:space="preserve">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 а также принятых в процессе предоставления услуги решений.</w:t>
      </w:r>
    </w:p>
    <w:p>
      <w:pPr>
        <w:spacing w:after="120"/>
        <w:ind w:firstLine="709"/>
        <w:jc w:val="both"/>
      </w:pPr>
      <w:r>
        <w:rPr>
          <w:rFonts w:ascii="Arial" w:cs="Arial" w:eastAsia="Arial" w:hAnsi="Arial"/>
          <w:sz w:val="24"/>
          <w:szCs w:val="24"/>
        </w:rPr>
        <w:t xml:space="preserve">Периодичность проведения проверок составляет один раз в три  года. Внеплановые проверки проводятся по заявлению потребителей услуги.</w:t>
      </w:r>
    </w:p>
    <w:p>
      <w:pPr>
        <w:spacing w:after="120"/>
        <w:ind w:firstLine="709"/>
        <w:jc w:val="both"/>
      </w:pPr>
      <w:r>
        <w:rPr>
          <w:rFonts w:ascii="Arial" w:cs="Arial" w:eastAsia="Arial" w:hAnsi="Arial"/>
          <w:sz w:val="24"/>
          <w:szCs w:val="24"/>
        </w:rPr>
        <w:t xml:space="preserve">По результатам проведения проверок принимаются меры по устранению выявленных нарушений требований административного регламента услуги, а также рассматривается вопрос об ответственности виновных лиц в соответствии с административным и трудовым законодательством Кыргызской Республики. </w:t>
      </w:r>
    </w:p>
    <w:p>
      <w:pPr>
        <w:spacing w:after="120"/>
        <w:ind w:firstLine="709"/>
        <w:jc w:val="both"/>
      </w:pPr>
      <w:r>
        <w:rPr>
          <w:rFonts w:ascii="Arial" w:cs="Arial" w:eastAsia="Arial" w:hAnsi="Arial"/>
          <w:sz w:val="24"/>
          <w:szCs w:val="24"/>
        </w:rPr>
        <w:t xml:space="preserve">7. Внешний контроль за исполнением требований административного регламента услуги осуществляется комиссией, образуемой решением Кыргызпатента, не реже одного раза в 3 года.</w:t>
      </w:r>
    </w:p>
    <w:p>
      <w:pPr>
        <w:spacing w:after="120"/>
        <w:ind w:firstLine="709"/>
        <w:jc w:val="both"/>
      </w:pPr>
      <w:r>
        <w:rPr>
          <w:rFonts w:ascii="Arial" w:cs="Arial" w:eastAsia="Arial" w:hAnsi="Arial"/>
          <w:sz w:val="24"/>
          <w:szCs w:val="24"/>
        </w:rPr>
        <w:t xml:space="preserve">Результаты работы комиссии оформляются в виде справки, в которую могут быть внесены предложения по изменению административного регламента. В течение 3 рабочих дней с момента подписания справки направляется в Госфонд ИС.</w:t>
      </w:r>
    </w:p>
    <w:p>
      <w:pPr>
        <w:spacing w:after="120"/>
        <w:ind w:firstLine="709"/>
        <w:jc w:val="both"/>
      </w:pPr>
      <w:r>
        <w:rPr>
          <w:rFonts w:ascii="Arial" w:cs="Arial" w:eastAsia="Arial" w:hAnsi="Arial"/>
          <w:sz w:val="24"/>
          <w:szCs w:val="24"/>
        </w:rPr>
        <w:t xml:space="preserve">Госфонд ИС в месячный срок с даты поступления справки принимает меры по устранению выявленных нарушений и недостатков, меры дисциплинарного и административного воздействия в отношении должностных лиц и сотрудников, допустивших данные нарушения. </w:t>
      </w:r>
    </w:p>
    <w:p>
      <w:pPr>
        <w:spacing w:after="120"/>
        <w:ind w:firstLine="709"/>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120"/>
        <w:ind w:firstLine="708"/>
        <w:jc w:val="center"/>
      </w:pPr>
      <w:r>
        <w:rPr>
          <w:rFonts w:ascii="Arial" w:cs="Arial" w:eastAsia="Arial" w:hAnsi="Arial"/>
          <w:sz w:val="24"/>
          <w:szCs w:val="24"/>
        </w:rPr>
        <w:t xml:space="preserve"/>
      </w:r>
    </w:p>
    <w:p>
      <w:pPr>
        <w:spacing w:after="240" w:before="200"/>
        <w:ind w:firstLine="708"/>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after="120"/>
        <w:ind w:firstLine="708"/>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 За нарушение требований административного регламента должностные лица и сотрудники Госфонда ИС несут ответственность в соответствии с административным и трудовым законодательством Кыргызской Республики.</w:t>
      </w:r>
    </w:p>
    <w:p>
      <w:pPr>
        <w:spacing w:after="120"/>
        <w:ind w:firstLine="709"/>
        <w:jc w:val="both"/>
      </w:pPr>
      <w:r>
        <w:rPr>
          <w:rFonts w:ascii="Arial" w:cs="Arial" w:eastAsia="Arial" w:hAnsi="Arial"/>
          <w:sz w:val="24"/>
          <w:szCs w:val="24"/>
        </w:rPr>
        <w:t xml:space="preserve">9.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jc w:val="center"/>
      </w:pPr>
      <w:r>
        <w:rPr>
          <w:rFonts w:ascii="Arial" w:cs="Arial" w:eastAsia="Arial" w:hAnsi="Arial"/>
          <w:sz w:val="24"/>
          <w:szCs w:val="24"/>
        </w:rPr>
        <w:t xml:space="preserve"/>
      </w:r>
    </w:p>
    <w:p>
      <w:pPr>
        <w:spacing w:after="240" w:before="200"/>
        <w:ind w:firstLine="708"/>
        <w:jc w:val="center"/>
      </w:pPr>
      <w:r>
        <w:rPr>
          <w:rFonts w:ascii="Arial" w:cs="Arial" w:eastAsia="Arial" w:hAnsi="Arial"/>
          <w:b/>
          <w:bCs/>
          <w:sz w:val="32"/>
          <w:szCs w:val="32"/>
        </w:rPr>
        <w:t xml:space="preserve">8. Заключительные положения</w:t>
      </w:r>
    </w:p>
    <w:p>
      <w:pPr>
        <w:spacing w:after="120"/>
        <w:ind w:firstLine="708"/>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 Административный регламент услуги согласован с государственными органами, подведомственными организациями, с которыми осуществляется взаимодействие в целях предоставления данной услуги конечному потребителю.</w:t>
      </w:r>
    </w:p>
    <w:p>
      <w:pPr>
        <w:spacing w:after="120"/>
        <w:ind w:firstLine="709"/>
        <w:jc w:val="both"/>
      </w:pPr>
      <w:r>
        <w:rPr>
          <w:rFonts w:ascii="Arial" w:cs="Arial" w:eastAsia="Arial" w:hAnsi="Arial"/>
          <w:sz w:val="24"/>
          <w:szCs w:val="24"/>
        </w:rPr>
        <w:t xml:space="preserve">11. Административный регламент подлежит пересмотру одновременно с пересмотром Стандарта услуги и по мере необходимости.</w:t>
      </w:r>
    </w:p>
    <w:p>
      <w:pPr>
        <w:spacing w:after="120"/>
        <w:ind w:firstLine="709"/>
        <w:jc w:val="both"/>
      </w:pPr>
      <w:r>
        <w:rPr>
          <w:rFonts w:ascii="Arial" w:cs="Arial" w:eastAsia="Arial" w:hAnsi="Arial"/>
          <w:sz w:val="24"/>
          <w:szCs w:val="24"/>
        </w:rPr>
        <w:t xml:space="preserve">12. Данный административный регламент государственной услуги инициирован Кыргызпатентом на основании постановления Правительства Кыргызской Республики «О делегировании отдельных нормотворческих полномочий Правительства Кыргызской Республики ряду государственных органов исполнительной власти» от 15 сентября 2014 года № 530.</w:t>
      </w:r>
    </w:p>
    <w:p>
      <w:pPr>
        <w:spacing/>
        <w:jc w:val="center"/>
      </w:pPr>
      <w:r>
        <w:rPr>
          <w:rFonts w:ascii="Arial" w:cs="Arial" w:eastAsia="Arial" w:hAnsi="Arial"/>
          <w:sz w:val="24"/>
          <w:szCs w:val="24"/>
        </w:rPr>
        <w:t xml:space="preserve"/>
      </w:r>
    </w:p>
    <w:p>
      <w:pPr>
        <w:spacing w:after="240" w:before="200"/>
        <w:ind w:firstLine="708"/>
        <w:jc w:val="center"/>
      </w:pPr>
      <w:r>
        <w:rPr>
          <w:rFonts w:ascii="Arial" w:cs="Arial" w:eastAsia="Arial" w:hAnsi="Arial"/>
          <w:b/>
          <w:bCs/>
          <w:sz w:val="32"/>
          <w:szCs w:val="32"/>
        </w:rPr>
        <w:t xml:space="preserve">9. Разработчики административного регламента</w:t>
      </w:r>
    </w:p>
    <w:p>
      <w:pPr>
        <w:spacing w:after="120"/>
        <w:ind w:firstLine="567"/>
        <w:jc w:val="both"/>
      </w:pPr>
      <w:r>
        <w:rPr>
          <w:rFonts w:ascii="Arial" w:cs="Arial" w:eastAsia="Arial" w:hAnsi="Arial"/>
          <w:sz w:val="24"/>
          <w:szCs w:val="24"/>
        </w:rPr>
        <w:t xml:space="preserve">Алымбаева А. Ж.</w:t>
      </w:r>
    </w:p>
    <w:p>
      <w:pPr>
        <w:spacing w:after="120"/>
        <w:ind w:firstLine="567"/>
        <w:jc w:val="both"/>
      </w:pPr>
      <w:r>
        <w:rPr>
          <w:rFonts w:ascii="Arial" w:cs="Arial" w:eastAsia="Arial" w:hAnsi="Arial"/>
          <w:sz w:val="24"/>
          <w:szCs w:val="24"/>
        </w:rPr>
        <w:t xml:space="preserve">главный специалист отдела </w:t>
      </w:r>
    </w:p>
    <w:p>
      <w:pPr>
        <w:spacing w:after="120"/>
        <w:ind w:firstLine="567"/>
        <w:jc w:val="both"/>
      </w:pPr>
      <w:r>
        <w:rPr>
          <w:rFonts w:ascii="Arial" w:cs="Arial" w:eastAsia="Arial" w:hAnsi="Arial"/>
          <w:sz w:val="24"/>
          <w:szCs w:val="24"/>
        </w:rPr>
        <w:t xml:space="preserve">организационной работы и стратегии                               _______________________</w:t>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anx-kbyvd3snq57wtcvc">
      <w:r>
        <w:rPr>
          <w:rFonts w:ascii="Arial" w:cs="Arial" w:eastAsia="Arial" w:hAnsi="Arial"/>
          <w:color w:val="132D3F"/>
          <w:sz w:val="16"/>
          <w:szCs w:val="16"/>
          <w:u w:val="single"/>
        </w:rPr>
        <w:t xml:space="preserve">dalil.kg/document/200697</w:t>
      </w:r>
    </w:hyperlink>
  </w:p>
  <w:p>
    <w:pPr>
      <w:spacing w:after="0" w:before="40"/>
      <w:jc w:val="center"/>
    </w:pPr>
    <w:hyperlink w:history="1" r:id="rIdbivt3i0kxsmzalzbrnsf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anx-kbyvd3snq57wtcvc" Type="http://schemas.openxmlformats.org/officeDocument/2006/relationships/hyperlink" Target="https://dalil.kg/document/200697" TargetMode="External"/><Relationship Id="rIdbivt3i0kxsmzalzbrnsf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2026-09-30T19:51:55.790Z</dcterms:created>
  <dcterms:modified xsi:type="dcterms:W3CDTF">2026-09-30T19:51:55.790Z</dcterms:modified>
</cp:coreProperties>
</file>

<file path=docProps/custom.xml><?xml version="1.0" encoding="utf-8"?>
<Properties xmlns="http://schemas.openxmlformats.org/officeDocument/2006/custom-properties" xmlns:vt="http://schemas.openxmlformats.org/officeDocument/2006/docPropsVTypes"/>
</file>