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выездных выставок научно-технической литературы,</w:t>
      </w:r>
    </w:p>
    <w:p>
      <w:pPr>
        <w:spacing w:after="240" w:before="200"/>
        <w:jc w:val="center"/>
      </w:pPr>
      <w:r>
        <w:rPr>
          <w:rFonts w:ascii="Arial" w:cs="Arial" w:eastAsia="Arial" w:hAnsi="Arial"/>
          <w:b/>
          <w:bCs/>
          <w:sz w:val="32"/>
          <w:szCs w:val="32"/>
        </w:rPr>
        <w:t xml:space="preserve"> пункт 20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12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20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до 4-х часов.</w:t>
      </w:r>
    </w:p>
    <w:p>
      <w:pPr>
        <w:spacing w:after="120"/>
        <w:ind w:firstLine="567"/>
        <w:jc w:val="both"/>
      </w:pPr>
      <w:r>
        <w:rPr>
          <w:rFonts w:ascii="Arial" w:cs="Arial" w:eastAsia="Arial" w:hAnsi="Arial"/>
          <w:sz w:val="24"/>
          <w:szCs w:val="24"/>
        </w:rPr>
        <w:t xml:space="preserve">Предельное время предоставления выставочных материалов - до 8 часов.</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в) квитанция об оплате или поступлении денежных средств.</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 Результат услуги: Выставка научно-технической литературы</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материалов по теме выставки </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Экспозиция выставки</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личное присутствие</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 </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1689"/>
        <w:gridCol w:w="662"/>
        <w:gridCol w:w="662"/>
        <w:gridCol w:w="614"/>
        <w:gridCol w:w="614"/>
        <w:gridCol w:w="1606"/>
        <w:gridCol w:w="1322"/>
        <w:gridCol w:w="1322"/>
      </w:tblGrid>
      <w:tr>
        <w:tc>
          <w:tcPr>
            <w:tcW w:type="dxa" w:w="33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3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минут</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tc>
      </w:tr>
      <w:tr>
        <w:tc>
          <w:tcPr>
            <w:tcW w:type="dxa" w:w="10180"/>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23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354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p>
            <w:pPr>
              <w:jc w:val="both"/>
            </w:pPr>
            <w:r>
              <w:rPr>
                <w:rFonts w:ascii="Arial" w:cs="Arial" w:eastAsia="Arial" w:hAnsi="Arial"/>
                <w:sz w:val="24"/>
                <w:szCs w:val="24"/>
              </w:rPr>
              <w:t xml:space="preserve"/>
            </w:r>
          </w:p>
        </w:tc>
        <w:tc>
          <w:tcPr>
            <w:tcW w:type="dxa" w:w="13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16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23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gridSpan w:val="3"/>
            <w:vMerge w:val="continue"/>
            <w:tcBorders>
              <w:top w:val="none" w:color="auto" w:sz="0"/>
              <w:left w:val="none" w:color="auto" w:sz="0"/>
              <w:bottom w:val="single" w:color="CBBF9E" w:sz="4"/>
              <w:right w:val="single" w:color="CBBF9E" w:sz="4"/>
            </w:tcBorders>
          </w:tcPr>
          <w:p/>
        </w:tc>
        <w:tc>
          <w:tcPr>
            <w:tcW w:type="dxa" w:w="13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а) документ об оплате, запись в журнале входящих документов;</w:t>
            </w:r>
          </w:p>
          <w:p>
            <w:pPr>
              <w:jc w:val="left"/>
            </w:pPr>
            <w:r>
              <w:rPr>
                <w:rFonts w:ascii="Arial" w:cs="Arial" w:eastAsia="Arial" w:hAnsi="Arial"/>
                <w:sz w:val="24"/>
                <w:szCs w:val="24"/>
              </w:rPr>
              <w:t xml:space="preserve">б) отказ в предоставлении услуги, в связи с отсутствием документа об оплате.</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Поиск материалов по теме выставки</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Определить тему выставки. Провести поиск источников по справочно-библиографическому аппарату и другим информационным  ресурсам библиотеки. Оформить материалы по теме выставки согласно установленным требованиям</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выставки. Список материалов</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Разработать структуру выставки.</w:t>
            </w:r>
          </w:p>
          <w:p>
            <w:pPr>
              <w:jc w:val="left"/>
            </w:pPr>
            <w:r>
              <w:rPr>
                <w:rFonts w:ascii="Arial" w:cs="Arial" w:eastAsia="Arial" w:hAnsi="Arial"/>
                <w:sz w:val="24"/>
                <w:szCs w:val="24"/>
              </w:rPr>
              <w:t xml:space="preserve">Подборка цитат, иллюстраций и распечатка</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структура выставки, демонстрация материалов</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В случае отсутствия материалов по запрашиваемой тематике выставки,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5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3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Упаковать материалы для экспозиции</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 </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Упакованные материалы выставки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подготовленные материалы выставки для экспозиции;</w:t>
            </w:r>
          </w:p>
          <w:p>
            <w:pPr>
              <w:jc w:val="left"/>
            </w:pPr>
            <w:r>
              <w:rPr>
                <w:rFonts w:ascii="Arial" w:cs="Arial" w:eastAsia="Arial" w:hAnsi="Arial"/>
                <w:sz w:val="24"/>
                <w:szCs w:val="24"/>
              </w:rPr>
              <w:t xml:space="preserve">- отказ в предоставлении услуги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1 час 45 минут </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80"/>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Экспозиция выставки</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Осуществляет доставку упакованных  материалов выставки к месту проведения.</w:t>
            </w:r>
          </w:p>
          <w:p>
            <w:pPr>
              <w:jc w:val="both"/>
            </w:pPr>
            <w:r>
              <w:rPr>
                <w:rFonts w:ascii="Arial" w:cs="Arial" w:eastAsia="Arial" w:hAnsi="Arial"/>
                <w:sz w:val="24"/>
                <w:szCs w:val="24"/>
              </w:rPr>
              <w:t xml:space="preserve">При передаче и приема материалов выставки фиксирует их количество </w:t>
            </w:r>
          </w:p>
        </w:tc>
        <w:tc>
          <w:tcPr>
            <w:tcW w:type="dxa" w:w="1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16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ГУИЦ;</w:t>
            </w:r>
          </w:p>
          <w:p>
            <w:pPr>
              <w:jc w:val="both"/>
            </w:pPr>
            <w:r>
              <w:rPr>
                <w:rFonts w:ascii="Arial" w:cs="Arial" w:eastAsia="Arial" w:hAnsi="Arial"/>
                <w:sz w:val="24"/>
                <w:szCs w:val="24"/>
              </w:rPr>
              <w:t xml:space="preserve">Положения об отделах ГУИЦ</w:t>
            </w: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материалами выставки и возврат </w:t>
            </w:r>
          </w:p>
        </w:tc>
      </w:tr>
      <w:tr>
        <w:tc>
          <w:tcPr>
            <w:tcW w:type="dxa" w:w="33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Распаковывает и  оформляет материалы выставки в соответствии с разработанной структурой.</w:t>
            </w:r>
          </w:p>
          <w:p>
            <w:pPr>
              <w:jc w:val="both"/>
            </w:pPr>
            <w:r>
              <w:rPr>
                <w:rFonts w:ascii="Arial" w:cs="Arial" w:eastAsia="Arial" w:hAnsi="Arial"/>
                <w:sz w:val="24"/>
                <w:szCs w:val="24"/>
              </w:rPr>
              <w:t xml:space="preserve">Предельное время предоставления выставочных материалов - до 8 часов </w:t>
            </w:r>
          </w:p>
        </w:tc>
        <w:tc>
          <w:tcPr>
            <w:gridSpan w:val="2"/>
            <w:vMerge w:val="continue"/>
            <w:tcBorders>
              <w:top w:val="none" w:color="auto" w:sz="0"/>
              <w:left w:val="none" w:color="auto" w:sz="0"/>
              <w:bottom w:val="single" w:color="CBBF9E" w:sz="4"/>
              <w:right w:val="single" w:color="CBBF9E" w:sz="4"/>
            </w:tcBorders>
          </w:tcPr>
          <w:p/>
        </w:tc>
        <w:tc>
          <w:tcPr>
            <w:tcW w:type="dxa" w:w="12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26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выставки</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Выставка научно-технической литературы</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час 30 мин.</w:t>
            </w:r>
          </w:p>
        </w:tc>
      </w:tr>
      <w:tr>
        <w:tc>
          <w:tcPr>
            <w:tcW w:type="dxa" w:w="10180"/>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both"/>
            </w:pPr>
            <w:r>
              <w:rPr>
                <w:rFonts w:ascii="Arial" w:cs="Arial" w:eastAsia="Arial" w:hAnsi="Arial"/>
                <w:sz w:val="24"/>
                <w:szCs w:val="24"/>
              </w:rPr>
              <w:t xml:space="preserve">Уведомление о приеме заявления к рассмотрению – до 20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4-х часов.</w:t>
            </w:r>
          </w:p>
          <w:p>
            <w:pPr>
              <w:jc w:val="both"/>
            </w:pPr>
            <w:r>
              <w:rPr>
                <w:rFonts w:ascii="Arial" w:cs="Arial" w:eastAsia="Arial" w:hAnsi="Arial"/>
                <w:sz w:val="24"/>
                <w:szCs w:val="24"/>
              </w:rPr>
              <w:t xml:space="preserve">Предельное время предоставления выставочных материалов - до 8 часов</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Государственного учреждения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ГУИЦ.</w:t>
      </w:r>
    </w:p>
    <w:p>
      <w:pPr>
        <w:spacing w:after="120"/>
        <w:ind w:firstLine="567"/>
        <w:jc w:val="both"/>
      </w:pPr>
      <w:r>
        <w:rPr>
          <w:rFonts w:ascii="Arial" w:cs="Arial" w:eastAsia="Arial" w:hAnsi="Arial"/>
          <w:sz w:val="24"/>
          <w:szCs w:val="24"/>
        </w:rPr>
        <w:t xml:space="preserve">ГУИЦ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ГУИЦ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holvwucbtzu3hzmvxyg">
      <w:r>
        <w:rPr>
          <w:rFonts w:ascii="Arial" w:cs="Arial" w:eastAsia="Arial" w:hAnsi="Arial"/>
          <w:color w:val="132D3F"/>
          <w:sz w:val="16"/>
          <w:szCs w:val="16"/>
          <w:u w:val="single"/>
        </w:rPr>
        <w:t xml:space="preserve">dalil.kg/document/200698</w:t>
      </w:r>
    </w:hyperlink>
  </w:p>
  <w:p>
    <w:pPr>
      <w:spacing w:after="0" w:before="40"/>
      <w:jc w:val="center"/>
    </w:pPr>
    <w:hyperlink w:history="1" r:id="rIdcanwoocrgbjujedkvth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holvwucbtzu3hzmvxyg" Type="http://schemas.openxmlformats.org/officeDocument/2006/relationships/hyperlink" Target="https://dalil.kg/document/200698" TargetMode="External"/><Relationship Id="rIdcanwoocrgbjujedkvth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2026-09-30T19:52:06.589Z</dcterms:created>
  <dcterms:modified xsi:type="dcterms:W3CDTF">2026-09-30T19:52:06.589Z</dcterms:modified>
</cp:coreProperties>
</file>

<file path=docProps/custom.xml><?xml version="1.0" encoding="utf-8"?>
<Properties xmlns="http://schemas.openxmlformats.org/officeDocument/2006/custom-properties" xmlns:vt="http://schemas.openxmlformats.org/officeDocument/2006/docPropsVTypes"/>
</file>