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Ветеринарно-санитарные нормы и требования</w:t>
      </w:r>
      <w:r>
        <w:rPr>
          <w:rFonts w:ascii="Arial" w:cs="Arial" w:eastAsia="Arial" w:hAnsi="Arial"/>
          <w:sz w:val="24"/>
          <w:szCs w:val="24"/>
        </w:rPr>
        <w:t xml:space="preserve">
 к планировке и буферным зонам для прудовых и бассейновых рыбоводных хозяйств</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Настоящие ветеринарные нормы и требования устанавливают требования к планировке и созданию буферных зон между прудовыми и бассейновыми рыбоводными хозяйствами, промышленными предприятиями, животноводческими комплексами, скотомогильниками, населенными пунктами, сельскохозяйственными угодьями и др.</w:t>
      </w:r>
    </w:p>
    <w:p>
      <w:pPr>
        <w:spacing w:after="120"/>
        <w:jc w:val="both"/>
      </w:pPr>
      <w:r>
        <w:rPr>
          <w:rFonts w:ascii="Arial" w:cs="Arial" w:eastAsia="Arial" w:hAnsi="Arial"/>
          <w:sz w:val="24"/>
          <w:szCs w:val="24"/>
        </w:rPr>
        <w:t xml:space="preserve">2. Настоящие ветеринарные нормы и требования предназначены для рыбохозяйствующих субъектов, независимо от формы собственности, осуществляющих аквакультуру в прудах и бассейнах, а также для должностных лиц, осуществляющих государственный ветеринарный надзор/контроль.</w:t>
      </w:r>
    </w:p>
    <w:p>
      <w:pPr>
        <w:spacing w:after="120"/>
        <w:jc w:val="both"/>
      </w:pPr>
      <w:r>
        <w:rPr>
          <w:rFonts w:ascii="Arial" w:cs="Arial" w:eastAsia="Arial" w:hAnsi="Arial"/>
          <w:sz w:val="24"/>
          <w:szCs w:val="24"/>
        </w:rPr>
        <w:t xml:space="preserve">3. Контроль за соблюдением настоящих норм и требований возлагается на уполномоченный государственный орган по ветеринарии.</w:t>
      </w:r>
    </w:p>
    <w:p>
      <w:pPr>
        <w:spacing w:after="120"/>
        <w:jc w:val="both"/>
      </w:pPr>
      <w:r>
        <w:rPr>
          <w:rFonts w:ascii="Arial" w:cs="Arial" w:eastAsia="Arial" w:hAnsi="Arial"/>
          <w:sz w:val="24"/>
          <w:szCs w:val="24"/>
        </w:rPr>
        <w:t xml:space="preserve">4. При проведении ветеринарно-санитарных мероприятий в рыбоводных хозяйствах учитываются особенности различных типов ведения хозяйств и объектов аквакультуры (виды рыб, выращиваемых в аквакультуре).</w:t>
      </w:r>
    </w:p>
    <w:p>
      <w:pPr>
        <w:spacing w:after="120"/>
        <w:jc w:val="both"/>
      </w:pPr>
      <w:r>
        <w:rPr>
          <w:rFonts w:ascii="Arial" w:cs="Arial" w:eastAsia="Arial" w:hAnsi="Arial"/>
          <w:sz w:val="24"/>
          <w:szCs w:val="24"/>
        </w:rPr>
        <w:t xml:space="preserve">II. Нормы и требования к планировке и буферным зонам для прудовых и бассейновых рыбоводных хозяйств</w:t>
      </w:r>
    </w:p>
    <w:p>
      <w:pPr>
        <w:spacing w:after="120"/>
        <w:jc w:val="both"/>
      </w:pPr>
      <w:r>
        <w:rPr>
          <w:rFonts w:ascii="Arial" w:cs="Arial" w:eastAsia="Arial" w:hAnsi="Arial"/>
          <w:sz w:val="24"/>
          <w:szCs w:val="24"/>
        </w:rPr>
        <w:t xml:space="preserve">5. Запрещается возводить и вести рыбоводные хозяйства путем перегораживания водотока (за исключением ранее построенных русловых, балочных прудов), защитных дамб, разрешается только путем отвода воды, не нанося ущерба гидрографии, лесным насаждениям, пастбищным угодьям, не допуская деградации почв, загрязнения водных ресурсов.</w:t>
      </w:r>
    </w:p>
    <w:p>
      <w:pPr>
        <w:spacing w:after="120"/>
        <w:jc w:val="both"/>
      </w:pPr>
      <w:r>
        <w:rPr>
          <w:rFonts w:ascii="Arial" w:cs="Arial" w:eastAsia="Arial" w:hAnsi="Arial"/>
          <w:sz w:val="24"/>
          <w:szCs w:val="24"/>
        </w:rPr>
        <w:t xml:space="preserve">6. Рыбоводные хозяйства должны принимать меры для предотвращения проникновения в рыбоводные сооружения (пруды, бассейны) всех видов аборигенных рыб, а также других водных организмов животных и побега объектов аквакультуры.</w:t>
      </w:r>
    </w:p>
    <w:p>
      <w:pPr>
        <w:spacing w:after="120"/>
        <w:jc w:val="both"/>
      </w:pPr>
      <w:r>
        <w:rPr>
          <w:rFonts w:ascii="Arial" w:cs="Arial" w:eastAsia="Arial" w:hAnsi="Arial"/>
          <w:sz w:val="24"/>
          <w:szCs w:val="24"/>
        </w:rPr>
        <w:t xml:space="preserve">7. Разделительной полосой рыбоводных хозяйств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обязательно должна быть буферная зона в 100 м.</w:t>
      </w:r>
    </w:p>
    <w:p>
      <w:pPr>
        <w:spacing w:after="120"/>
        <w:jc w:val="both"/>
      </w:pPr>
      <w:r>
        <w:rPr>
          <w:rFonts w:ascii="Arial" w:cs="Arial" w:eastAsia="Arial" w:hAnsi="Arial"/>
          <w:sz w:val="24"/>
          <w:szCs w:val="24"/>
        </w:rPr>
        <w:t xml:space="preserve">8. В карповых прудовых хозяйствах не допускается строительство нерестовых, маточных, зимовальных, нагульных и др. прудов ближе 250 м от буферной зоны. Сама буферная зона должна быть удалена на 250 м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загрязняющих водоисточник (водозабор).</w:t>
      </w:r>
    </w:p>
    <w:p>
      <w:pPr>
        <w:spacing w:after="120"/>
        <w:jc w:val="both"/>
      </w:pPr>
      <w:r>
        <w:rPr>
          <w:rFonts w:ascii="Arial" w:cs="Arial" w:eastAsia="Arial" w:hAnsi="Arial"/>
          <w:sz w:val="24"/>
          <w:szCs w:val="24"/>
        </w:rPr>
        <w:t xml:space="preserve">9. В форелевых прудовых и бассейновых рыбоводных хозяйствах не допускается строительство всех категорий прудов и бассейнов на расстоянии ближе 450 м от буферной зоны. Сама буферная зона должна быть удалена на 450 м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загрязняющих водоисточник (водозабор).</w:t>
      </w:r>
    </w:p>
    <w:p>
      <w:pPr>
        <w:spacing w:after="120"/>
        <w:jc w:val="both"/>
      </w:pPr>
      <w:r>
        <w:rPr>
          <w:rFonts w:ascii="Arial" w:cs="Arial" w:eastAsia="Arial" w:hAnsi="Arial"/>
          <w:sz w:val="24"/>
          <w:szCs w:val="24"/>
        </w:rPr>
        <w:t xml:space="preserve">10. При расположении форелевых хозяйств на одном водотоке расстояние между хозяйствами должно быть не менее 500 м, и рекомендуется на выходе из хозяйства соорудить пруд-отстойник, а также установить песчано-гравийные фильтры. При наличии биологических фильтров допускается расстояние между рыбоводными хозяйствами 100 м.</w:t>
      </w:r>
    </w:p>
    <w:p>
      <w:pPr>
        <w:spacing w:after="120"/>
        <w:jc w:val="both"/>
      </w:pPr>
      <w:r>
        <w:rPr>
          <w:rFonts w:ascii="Arial" w:cs="Arial" w:eastAsia="Arial" w:hAnsi="Arial"/>
          <w:sz w:val="24"/>
          <w:szCs w:val="24"/>
        </w:rPr>
        <w:t xml:space="preserve">11. Рекомендуется в рыбоводном хозяйстве иметь головной пруд, оборудованный спускным устройством для забора воды в рыбоводные пруды и бассейны и ультрафиолетовой или бактерицидной лампой, или биологическими фильтрами. Головной пруд служит для очистки (отстаивании) мутной воды от массы взвешенных частиц, от излишней концентрации биогенных аминов, остатков антибиотиков, биологической очистки от инфекционных, инвазионных болезней или согревания слишком холодной воды, поступающей в летние пруды из родников и горных речек.</w:t>
      </w:r>
    </w:p>
    <w:p>
      <w:pPr>
        <w:spacing w:after="120"/>
        <w:jc w:val="both"/>
      </w:pPr>
      <w:r>
        <w:rPr>
          <w:rFonts w:ascii="Arial" w:cs="Arial" w:eastAsia="Arial" w:hAnsi="Arial"/>
          <w:sz w:val="24"/>
          <w:szCs w:val="24"/>
        </w:rPr>
        <w:t xml:space="preserve">12. Каждое рыбоводное хозяйство в обязательном порядке на выходе из хозяйства должно иметь земляной отстойник для очистки воды. Сброс воды из рыбоводного хозяйства должен осуществляться по водосбросной системе, расположенной ниже по течению относительно водозабора в отстойник. Каждое рыбоводное хозяйство в обязательном порядке на выходе из хозяйства должны устанавливать заградительные сооружения во избежание побега аквакультурных видов и пород рыб в естественную среду обитания.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79boqeivnoa9cdnymlby">
      <w:r>
        <w:rPr>
          <w:rFonts w:ascii="Arial" w:cs="Arial" w:eastAsia="Arial" w:hAnsi="Arial"/>
          <w:color w:val="132D3F"/>
          <w:sz w:val="16"/>
          <w:szCs w:val="16"/>
          <w:u w:val="single"/>
        </w:rPr>
        <w:t xml:space="preserve">dalil.kg/document/200730</w:t>
      </w:r>
    </w:hyperlink>
  </w:p>
  <w:p>
    <w:pPr>
      <w:spacing w:after="0" w:before="40"/>
      <w:jc w:val="center"/>
    </w:pPr>
    <w:hyperlink w:history="1" r:id="rIdbpzo2qvb4_pfstpgojvl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79boqeivnoa9cdnymlby" Type="http://schemas.openxmlformats.org/officeDocument/2006/relationships/hyperlink" Target="https://dalil.kg/document/200730" TargetMode="External"/><Relationship Id="rIdbpzo2qvb4_pfstpgojvl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2026-09-29T16:27:59.537Z</dcterms:created>
  <dcterms:modified xsi:type="dcterms:W3CDTF">2026-09-29T16:27:59.538Z</dcterms:modified>
</cp:coreProperties>
</file>

<file path=docProps/custom.xml><?xml version="1.0" encoding="utf-8"?>
<Properties xmlns="http://schemas.openxmlformats.org/officeDocument/2006/custom-properties" xmlns:vt="http://schemas.openxmlformats.org/officeDocument/2006/docPropsVTypes"/>
</file>