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/>
        <w:jc w:val="right"/>
      </w:pPr>
      <w:r>
        <w:rPr>
          <w:rFonts w:ascii="Arial" w:cs="Arial" w:eastAsia="Arial" w:hAnsi="Arial"/>
          <w:sz w:val="24"/>
          <w:szCs w:val="24"/>
        </w:rPr>
        <w:t xml:space="preserve">Приложение 1</w:t>
      </w:r>
    </w:p>
    <w:p>
      <w:pPr>
        <w:spacing/>
        <w:jc w:val="right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/>
        <w:jc w:val="right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Утверждено </w:t>
      </w:r>
      <w:hyperlink w:history="1" r:id="rIdpksrfcqgf6sq60avpp5qz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приказом</w:t>
        </w:r>
      </w:hyperlink>
    </w:p>
    <w:p>
      <w:pPr>
        <w:spacing/>
        <w:jc w:val="right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Министерства экономики и коммерции</w:t>
      </w:r>
    </w:p>
    <w:p>
      <w:pPr>
        <w:spacing/>
        <w:jc w:val="right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Кыргызской Республики</w:t>
      </w:r>
    </w:p>
    <w:p>
      <w:pPr>
        <w:spacing/>
        <w:jc w:val="right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от “03” февраля 2023 года № 14</w:t>
      </w:r>
    </w:p>
    <w:p>
      <w:pPr>
        <w:spacing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МЕТОДИКА</w:t>
      </w:r>
    </w:p>
    <w:p>
      <w:pPr>
        <w:spacing w:after="12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расчета </w:t>
      </w:r>
      <w:r>
        <w:rPr>
          <w:rFonts w:ascii="Arial" w:cs="Arial" w:eastAsia="Arial" w:hAnsi="Arial"/>
          <w:b/>
          <w:bCs/>
          <w:sz w:val="28"/>
          <w:szCs w:val="28"/>
        </w:rPr>
        <w:t xml:space="preserve">и</w:t>
      </w:r>
      <w:r>
        <w:rPr>
          <w:rFonts w:ascii="Arial" w:cs="Arial" w:eastAsia="Arial" w:hAnsi="Arial"/>
          <w:b/>
          <w:bCs/>
          <w:sz w:val="28"/>
          <w:szCs w:val="28"/>
        </w:rPr>
        <w:t xml:space="preserve">ндекса развития региона для экономического прогнозирования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0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Общие положения</w:t>
      </w:r>
    </w:p>
    <w:p>
      <w:pPr>
        <w:spacing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1. Настоящая Методика </w:t>
      </w:r>
      <w:r>
        <w:rPr>
          <w:rFonts w:ascii="Arial" w:cs="Arial" w:eastAsia="Arial" w:hAnsi="Arial"/>
          <w:sz w:val="24"/>
          <w:szCs w:val="24"/>
        </w:rPr>
        <w:t xml:space="preserve">устанавливает</w:t>
      </w:r>
      <w:r>
        <w:rPr>
          <w:rFonts w:ascii="Arial" w:cs="Arial" w:eastAsia="Arial" w:hAnsi="Arial"/>
          <w:sz w:val="24"/>
          <w:szCs w:val="24"/>
        </w:rPr>
        <w:t xml:space="preserve"> порядок</w:t>
      </w:r>
      <w:r>
        <w:rPr>
          <w:rFonts w:ascii="Arial" w:cs="Arial" w:eastAsia="Arial" w:hAnsi="Arial"/>
          <w:sz w:val="24"/>
          <w:szCs w:val="24"/>
        </w:rPr>
        <w:t xml:space="preserve"> оценки степени реализации национальной программы развития Кыргызской Республики до 2026 года и </w:t>
      </w:r>
      <w:r>
        <w:rPr>
          <w:rFonts w:ascii="Arial" w:cs="Arial" w:eastAsia="Arial" w:hAnsi="Arial"/>
          <w:sz w:val="24"/>
          <w:szCs w:val="24"/>
        </w:rPr>
        <w:t xml:space="preserve">расчета Индекса развития региона и </w:t>
      </w:r>
      <w:r>
        <w:rPr>
          <w:rFonts w:ascii="Arial" w:cs="Arial" w:eastAsia="Arial" w:hAnsi="Arial"/>
          <w:sz w:val="24"/>
          <w:szCs w:val="24"/>
        </w:rPr>
        <w:t xml:space="preserve">построения рейтинга развития </w:t>
      </w:r>
      <w:r>
        <w:rPr>
          <w:rFonts w:ascii="Arial" w:cs="Arial" w:eastAsia="Arial" w:hAnsi="Arial"/>
          <w:sz w:val="24"/>
          <w:szCs w:val="24"/>
        </w:rPr>
        <w:t xml:space="preserve">областей, районов и городов Бишкек и Ош (далее – регионы).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Значение Индекса развития региона является индикатором эффективности и прозрачности государственного управления в регионе и служит основой для выработки и реализации приоритетных задач, направленных на выравнивание дифференциации в развитии регионов.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2. Объектом оценки является социально-экономическое положение региона.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3. Предметом оценки является достижение положительных (отрицательных) темпов роста показателей социально-экономического развития региона за отчетный период.</w:t>
      </w:r>
      <w:r>
        <w:rPr>
          <w:rFonts w:ascii="Arial" w:cs="Arial" w:eastAsia="Arial" w:hAnsi="Arial"/>
          <w:sz w:val="24"/>
          <w:szCs w:val="24"/>
        </w:rPr>
        <w:t xml:space="preserve"> Целью методики является оценка эффективности экономического прогнозирования развития регионов.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4. Проведение расчета Индекса развития региона и построение рейтинга осуществляется на ежегодной основе.</w:t>
      </w:r>
      <w:r>
        <w:rPr>
          <w:rFonts w:ascii="Arial" w:cs="Arial" w:eastAsia="Arial" w:hAnsi="Arial"/>
          <w:sz w:val="24"/>
          <w:szCs w:val="24"/>
        </w:rPr>
        <w:t xml:space="preserve"> Результаты оценки и расчета индекса развития регионов являются основанием для проведения экономического прогнозирования Кыргызской Республики.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0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Показатели Индекса регионального развития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5. Основой </w:t>
      </w:r>
      <w:r>
        <w:rPr>
          <w:rFonts w:ascii="Arial" w:cs="Arial" w:eastAsia="Arial" w:hAnsi="Arial"/>
          <w:sz w:val="24"/>
          <w:szCs w:val="24"/>
        </w:rPr>
        <w:t xml:space="preserve">для формирования перечня показателей в приложении 2, подлежащих оценке, послужили ключевые показатели статистической и ведомственной отчетности, отражающие основные направления развития регионов, кроме того, показатели синхронизированы с рядом индикаторов, предусмотренных в национальных стратегических документах, в глобальном и национальном наборе показателей Целей устойчивого развития.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6. Формирование перечня показателей Индекса развития региона основан на следующих принципах:</w:t>
      </w:r>
    </w:p>
    <w:p>
      <w:pPr>
        <w:spacing w:after="20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-</w:t>
      </w:r>
      <w:r>
        <w:rPr>
          <w:rFonts w:ascii="Arial" w:cs="Arial" w:eastAsia="Arial" w:hAnsi="Arial"/>
          <w:sz w:val="24"/>
          <w:szCs w:val="24"/>
        </w:rPr>
        <w:t xml:space="preserve">комплексность – обеспечение учета важнейших составляющих уровня социально-экономического и финансового развития регионов;</w:t>
      </w:r>
    </w:p>
    <w:p>
      <w:pPr>
        <w:spacing w:after="20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-</w:t>
      </w:r>
      <w:r>
        <w:rPr>
          <w:rFonts w:ascii="Arial" w:cs="Arial" w:eastAsia="Arial" w:hAnsi="Arial"/>
          <w:sz w:val="24"/>
          <w:szCs w:val="24"/>
        </w:rPr>
        <w:t xml:space="preserve">значимость – предпочтение отдается обобщающим, а не составным показателям;</w:t>
      </w:r>
    </w:p>
    <w:p>
      <w:pPr>
        <w:spacing w:after="20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-</w:t>
      </w:r>
      <w:r>
        <w:rPr>
          <w:rFonts w:ascii="Arial" w:cs="Arial" w:eastAsia="Arial" w:hAnsi="Arial"/>
          <w:sz w:val="24"/>
          <w:szCs w:val="24"/>
        </w:rPr>
        <w:t xml:space="preserve">периодичность – фактические значения всех показателей должны находиться в одном временном отрезке (отчетный период);</w:t>
      </w:r>
    </w:p>
    <w:p>
      <w:pPr>
        <w:spacing w:after="20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-</w:t>
      </w:r>
      <w:r>
        <w:rPr>
          <w:rFonts w:ascii="Arial" w:cs="Arial" w:eastAsia="Arial" w:hAnsi="Arial"/>
          <w:sz w:val="24"/>
          <w:szCs w:val="24"/>
        </w:rPr>
        <w:t xml:space="preserve">полезность – достижение максимальной информативности результатов оценки уровня развития регионов с позиций принятия решений на национальном и региональном уровнях государственного управления.</w:t>
      </w:r>
    </w:p>
    <w:p>
      <w:pPr>
        <w:spacing w:after="200"/>
        <w:jc w:val="right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7. Отобранные показатели сгруппированы по следующим основным направлениям (</w:t>
      </w:r>
      <w:hyperlink w:history="1" r:id="rIdx9srv6jgpzngrntwbo9uh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приложение 2</w:t>
        </w:r>
      </w:hyperlink>
      <w:r>
        <w:rPr>
          <w:rFonts w:ascii="Arial" w:cs="Arial" w:eastAsia="Arial" w:hAnsi="Arial"/>
          <w:sz w:val="24"/>
          <w:szCs w:val="24"/>
        </w:rPr>
        <w:t xml:space="preserve">):</w:t>
      </w:r>
    </w:p>
    <w:p>
      <w:pPr>
        <w:spacing w:after="120"/>
        <w:jc w:val="right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Таблица 1</w:t>
      </w:r>
    </w:p>
    <w:p>
      <w:pPr>
        <w:spacing w:after="120"/>
        <w:jc w:val="right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40" w:before="200"/>
        <w:ind w:firstLine="851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Структура перечня показателей</w:t>
      </w:r>
    </w:p>
    <w:p>
      <w:pPr>
        <w:spacing w:after="120"/>
        <w:ind w:firstLine="709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463"/>
        <w:gridCol w:w="2467"/>
        <w:gridCol w:w="7248"/>
      </w:tblGrid>
      <w:tr>
        <w:tc>
          <w:tcPr>
            <w:tcW w:type="dxa" w:w="463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№</w:t>
            </w:r>
          </w:p>
        </w:tc>
        <w:tc>
          <w:tcPr>
            <w:tcW w:type="dxa" w:w="2467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Направление</w:t>
            </w:r>
          </w:p>
        </w:tc>
        <w:tc>
          <w:tcPr>
            <w:tcW w:type="dxa" w:w="7248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Характеристика и роль государственного управления</w:t>
            </w:r>
          </w:p>
        </w:tc>
      </w:tr>
      <w:tr>
        <w:tc>
          <w:tcPr>
            <w:tcW w:type="dxa" w:w="46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246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Социальное благополучие</w:t>
            </w:r>
          </w:p>
        </w:tc>
        <w:tc>
          <w:tcPr>
            <w:tcW w:type="dxa" w:w="724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оциально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е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 благополучие населения региона и достойный уровень жизни является важнейшей задачей государственного управления в сфере социальной политики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.</w:t>
            </w:r>
          </w:p>
        </w:tc>
      </w:tr>
      <w:tr>
        <w:tc>
          <w:tcPr>
            <w:tcW w:type="dxa" w:w="46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</w:t>
            </w:r>
          </w:p>
        </w:tc>
        <w:tc>
          <w:tcPr>
            <w:tcW w:type="dxa" w:w="246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Экономический рост и эффективность</w:t>
            </w:r>
          </w:p>
        </w:tc>
        <w:tc>
          <w:tcPr>
            <w:tcW w:type="dxa" w:w="724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Э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ффективные инструменты государственного управления способствуют развитию инвестиционной среды, и последующему экономическому развитию региона.</w:t>
            </w:r>
          </w:p>
        </w:tc>
      </w:tr>
      <w:tr>
        <w:tc>
          <w:tcPr>
            <w:tcW w:type="dxa" w:w="46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</w:t>
            </w:r>
          </w:p>
        </w:tc>
        <w:tc>
          <w:tcPr>
            <w:tcW w:type="dxa" w:w="246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Развитие деловой среды и финансового сектора</w:t>
            </w:r>
          </w:p>
        </w:tc>
        <w:tc>
          <w:tcPr>
            <w:tcW w:type="dxa" w:w="724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Стимулирование наращивания частных инвестиций и создание благоприятных рыночных возможностей в секторах экономики является приоритетной задачей государственной политики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.</w:t>
            </w:r>
          </w:p>
        </w:tc>
      </w:tr>
      <w:tr>
        <w:tc>
          <w:tcPr>
            <w:tcW w:type="dxa" w:w="46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</w:t>
            </w:r>
          </w:p>
        </w:tc>
        <w:tc>
          <w:tcPr>
            <w:tcW w:type="dxa" w:w="246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Развитие бюджетной сферы</w:t>
            </w:r>
          </w:p>
        </w:tc>
        <w:tc>
          <w:tcPr>
            <w:tcW w:type="dxa" w:w="724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Эффективное администрирование налоговых и неналоговых поступлений прямым образом влияет на создание благоприятных условий для жизнедеятельности местного сообщества.</w:t>
            </w:r>
          </w:p>
        </w:tc>
      </w:tr>
      <w:tr>
        <w:tc>
          <w:tcPr>
            <w:tcW w:type="dxa" w:w="46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</w:t>
            </w:r>
          </w:p>
        </w:tc>
        <w:tc>
          <w:tcPr>
            <w:tcW w:type="dxa" w:w="246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Охрана окружающей среды</w:t>
            </w:r>
          </w:p>
        </w:tc>
        <w:tc>
          <w:tcPr>
            <w:tcW w:type="dxa" w:w="724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Состояние атмосферного воздуха, мероприятия по утилизации отходов производства и потребления, затраты на охрану окружающей среды являются базовыми показателями, позволяющими реагировать на изменение климата и принимать меры по охране окружающей среды.</w:t>
            </w:r>
          </w:p>
        </w:tc>
      </w:tr>
      <w:tr>
        <w:tc>
          <w:tcPr>
            <w:tcW w:type="dxa" w:w="46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</w:t>
            </w:r>
          </w:p>
        </w:tc>
        <w:tc>
          <w:tcPr>
            <w:tcW w:type="dxa" w:w="246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Развитие инфраструктуры</w:t>
            </w:r>
          </w:p>
        </w:tc>
        <w:tc>
          <w:tcPr>
            <w:tcW w:type="dxa" w:w="724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Мониторинг реализации поставленных перед государственными органами задач по развитию инфраструктуры позволяет оценить динамику и результаты проводимой работы.</w:t>
            </w:r>
          </w:p>
        </w:tc>
      </w:tr>
    </w:tbl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0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Этапы расчета Индекса развития региона</w:t>
      </w:r>
    </w:p>
    <w:p>
      <w:pPr>
        <w:spacing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8. Расчет Индекса развития региона проводится следующим образом: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1)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Первый этап.</w:t>
      </w:r>
      <w:r>
        <w:rPr>
          <w:rFonts w:ascii="Arial" w:cs="Arial" w:eastAsia="Arial" w:hAnsi="Arial"/>
          <w:sz w:val="24"/>
          <w:szCs w:val="24"/>
        </w:rPr>
        <w:t xml:space="preserve"> Производится расчет степени достижения плановых (прогнозных) значений показателей согласно столбцу </w:t>
      </w:r>
      <w:r>
        <w:rPr>
          <w:rFonts w:ascii="Arial" w:cs="Arial" w:eastAsia="Arial" w:hAnsi="Arial"/>
          <w:sz w:val="24"/>
          <w:szCs w:val="24"/>
        </w:rPr>
        <w:t xml:space="preserve">8</w:t>
      </w:r>
      <w:r>
        <w:rPr>
          <w:rFonts w:ascii="Arial" w:cs="Arial" w:eastAsia="Arial" w:hAnsi="Arial"/>
          <w:sz w:val="24"/>
          <w:szCs w:val="24"/>
        </w:rPr>
        <w:t xml:space="preserve"> таблицы перечня показателей (</w:t>
      </w:r>
      <w:hyperlink w:history="1" r:id="rId1nwh6boyr10i0xk1hfvtv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приложение 2</w:t>
        </w:r>
      </w:hyperlink>
      <w:r>
        <w:rPr>
          <w:rFonts w:ascii="Arial" w:cs="Arial" w:eastAsia="Arial" w:hAnsi="Arial"/>
          <w:sz w:val="24"/>
          <w:szCs w:val="24"/>
        </w:rPr>
        <w:t xml:space="preserve">). 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Для расчета степени достижения плановых (прогнозных) значений показателей необходимо произвести расчет соотношения фактического значения показателя за отчетный период к плановому (прогнозному) значению показателя за отчетный период по следующей формуле: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где: 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фактическое значение показателя за отчетный год </w:t>
      </w:r>
      <w:r>
        <w:rPr>
          <w:rFonts w:ascii="Arial" w:cs="Arial" w:eastAsia="Arial" w:hAnsi="Arial"/>
          <w:sz w:val="24"/>
          <w:szCs w:val="24"/>
        </w:rPr>
        <w:t xml:space="preserve">j</w:t>
      </w:r>
      <w:r>
        <w:rPr>
          <w:rFonts w:ascii="Arial" w:cs="Arial" w:eastAsia="Arial" w:hAnsi="Arial"/>
          <w:sz w:val="24"/>
          <w:szCs w:val="24"/>
        </w:rPr>
        <w:t xml:space="preserve">-го региона;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</w:t>
      </w:r>
      <w:r>
        <w:rPr>
          <w:rFonts w:ascii="Arial" w:cs="Arial" w:eastAsia="Arial" w:hAnsi="Arial"/>
          <w:sz w:val="24"/>
          <w:szCs w:val="24"/>
        </w:rPr>
        <w:t xml:space="preserve">плановое (прогнозное) значение показателя за </w:t>
      </w:r>
      <w:r>
        <w:rPr>
          <w:rFonts w:ascii="Arial" w:cs="Arial" w:eastAsia="Arial" w:hAnsi="Arial"/>
          <w:sz w:val="24"/>
          <w:szCs w:val="24"/>
        </w:rPr>
        <w:t xml:space="preserve">отчетный </w:t>
      </w:r>
      <w:r>
        <w:rPr>
          <w:rFonts w:ascii="Arial" w:cs="Arial" w:eastAsia="Arial" w:hAnsi="Arial"/>
          <w:sz w:val="24"/>
          <w:szCs w:val="24"/>
        </w:rPr>
        <w:t xml:space="preserve">период прошлого года </w:t>
      </w:r>
      <w:r>
        <w:rPr>
          <w:rFonts w:ascii="Arial" w:cs="Arial" w:eastAsia="Arial" w:hAnsi="Arial"/>
          <w:sz w:val="24"/>
          <w:szCs w:val="24"/>
        </w:rPr>
        <w:t xml:space="preserve">j</w:t>
      </w:r>
      <w:r>
        <w:rPr>
          <w:rFonts w:ascii="Arial" w:cs="Arial" w:eastAsia="Arial" w:hAnsi="Arial"/>
          <w:sz w:val="24"/>
          <w:szCs w:val="24"/>
        </w:rPr>
        <w:t xml:space="preserve">-го региона.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2)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Второй этап.</w:t>
      </w:r>
      <w:r>
        <w:rPr>
          <w:rFonts w:ascii="Arial" w:cs="Arial" w:eastAsia="Arial" w:hAnsi="Arial"/>
          <w:sz w:val="24"/>
          <w:szCs w:val="24"/>
        </w:rPr>
        <w:t xml:space="preserve"> Необходимо для каждого полученного значения показателя рассчитать балльную оценку. Все показатели разбивают на 2 группы:</w:t>
      </w:r>
    </w:p>
    <w:p>
      <w:pPr>
        <w:spacing w:after="200"/>
        <w:ind w:firstLine="708"/>
        <w:jc w:val="both"/>
      </w:pPr>
      <w:r>
        <w:rPr>
          <w:rFonts w:ascii="Arial" w:cs="Arial" w:eastAsia="Arial" w:hAnsi="Arial"/>
          <w:sz w:val="24"/>
          <w:szCs w:val="24"/>
        </w:rPr>
        <w:t xml:space="preserve">-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 показатели группы «А»,</w:t>
      </w:r>
      <w:r>
        <w:rPr>
          <w:rFonts w:ascii="Arial" w:cs="Arial" w:eastAsia="Arial" w:hAnsi="Arial"/>
          <w:sz w:val="24"/>
          <w:szCs w:val="24"/>
        </w:rPr>
        <w:t xml:space="preserve"> увеличение значения которых отражает положительный результат. Для данной группы балльная оценка рассчитывается по формуле: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0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-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показатели группы «Б»,</w:t>
      </w:r>
      <w:r>
        <w:rPr>
          <w:rFonts w:ascii="Arial" w:cs="Arial" w:eastAsia="Arial" w:hAnsi="Arial"/>
          <w:sz w:val="24"/>
          <w:szCs w:val="24"/>
        </w:rPr>
        <w:t xml:space="preserve"> снижение значения которых отражает положительный результат. Балльная оценка рассчитывается по формуле: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                , </w:t>
      </w:r>
    </w:p>
    <w:p>
      <w:pPr>
        <w:spacing/>
        <w:jc w:val="both"/>
      </w:pPr>
      <w:r>
        <w:rPr>
          <w:rFonts w:ascii="Arial" w:cs="Arial" w:eastAsia="Arial" w:hAnsi="Arial"/>
          <w:sz w:val="24"/>
          <w:szCs w:val="24"/>
        </w:rPr>
        <w:t xml:space="preserve">где:</w:t>
      </w:r>
    </w:p>
    <w:p>
      <w:pPr>
        <w:spacing/>
        <w:jc w:val="both"/>
      </w:pPr>
      <w:r>
        <w:rPr>
          <w:rFonts w:ascii="Arial" w:cs="Arial" w:eastAsia="Arial" w:hAnsi="Arial"/>
          <w:sz w:val="24"/>
          <w:szCs w:val="24"/>
        </w:rPr>
        <w:t xml:space="preserve"> – значение показателя </w:t>
      </w:r>
      <w:r>
        <w:rPr>
          <w:rFonts w:ascii="Arial" w:cs="Arial" w:eastAsia="Arial" w:hAnsi="Arial"/>
          <w:sz w:val="24"/>
          <w:szCs w:val="24"/>
        </w:rPr>
        <w:t xml:space="preserve">j</w:t>
      </w:r>
      <w:r>
        <w:rPr>
          <w:rFonts w:ascii="Arial" w:cs="Arial" w:eastAsia="Arial" w:hAnsi="Arial"/>
          <w:sz w:val="24"/>
          <w:szCs w:val="24"/>
        </w:rPr>
        <w:t xml:space="preserve">-го региона;</w:t>
      </w:r>
    </w:p>
    <w:p>
      <w:pPr>
        <w:spacing/>
        <w:jc w:val="both"/>
      </w:pPr>
      <w:r>
        <w:rPr>
          <w:rFonts w:ascii="Arial" w:cs="Arial" w:eastAsia="Arial" w:hAnsi="Arial"/>
          <w:sz w:val="24"/>
          <w:szCs w:val="24"/>
        </w:rPr>
        <w:t xml:space="preserve"> – минимальное значение показателя среди регионов;</w:t>
      </w:r>
    </w:p>
    <w:p>
      <w:pPr>
        <w:spacing/>
        <w:jc w:val="both"/>
      </w:pPr>
      <w:r>
        <w:rPr>
          <w:rFonts w:ascii="Arial" w:cs="Arial" w:eastAsia="Arial" w:hAnsi="Arial"/>
          <w:sz w:val="24"/>
          <w:szCs w:val="24"/>
        </w:rPr>
        <w:t xml:space="preserve">  – максимальное значение показателя среди регионов.</w:t>
      </w:r>
    </w:p>
    <w:p>
      <w:pPr>
        <w:spacing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3)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Третий этап.</w:t>
      </w:r>
      <w:r>
        <w:rPr>
          <w:rFonts w:ascii="Arial" w:cs="Arial" w:eastAsia="Arial" w:hAnsi="Arial"/>
          <w:sz w:val="24"/>
          <w:szCs w:val="24"/>
        </w:rPr>
        <w:t xml:space="preserve"> Производится расчет интегрального показателя региона по каждому направлению. Интегральный показатель рассчитывается как среднее арифметическое балльных оценок: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                 , </w:t>
      </w:r>
    </w:p>
    <w:p>
      <w:pPr>
        <w:spacing/>
        <w:jc w:val="both"/>
      </w:pPr>
      <w:r>
        <w:rPr>
          <w:rFonts w:ascii="Arial" w:cs="Arial" w:eastAsia="Arial" w:hAnsi="Arial"/>
          <w:sz w:val="24"/>
          <w:szCs w:val="24"/>
        </w:rPr>
        <w:t xml:space="preserve">где: </w:t>
      </w:r>
    </w:p>
    <w:p>
      <w:pPr>
        <w:spacing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i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 – </w:t>
      </w:r>
      <w:r>
        <w:rPr>
          <w:rFonts w:ascii="Arial" w:cs="Arial" w:eastAsia="Arial" w:hAnsi="Arial"/>
          <w:sz w:val="24"/>
          <w:szCs w:val="24"/>
        </w:rPr>
        <w:t xml:space="preserve">направление</w:t>
      </w:r>
      <w:r>
        <w:rPr>
          <w:rFonts w:ascii="Arial" w:cs="Arial" w:eastAsia="Arial" w:hAnsi="Arial"/>
          <w:sz w:val="24"/>
          <w:szCs w:val="24"/>
        </w:rPr>
        <w:t xml:space="preserve">; </w:t>
      </w:r>
    </w:p>
    <w:p>
      <w:pPr>
        <w:spacing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n </w:t>
      </w:r>
      <w:r>
        <w:rPr>
          <w:rFonts w:ascii="Arial" w:cs="Arial" w:eastAsia="Arial" w:hAnsi="Arial"/>
          <w:sz w:val="24"/>
          <w:szCs w:val="24"/>
        </w:rPr>
        <w:t xml:space="preserve">- номер направления;</w:t>
      </w:r>
    </w:p>
    <w:p>
      <w:pPr>
        <w:spacing/>
        <w:jc w:val="both"/>
      </w:pPr>
      <w:r>
        <w:rPr>
          <w:rFonts w:ascii="Arial" w:cs="Arial" w:eastAsia="Arial" w:hAnsi="Arial"/>
          <w:sz w:val="24"/>
          <w:szCs w:val="24"/>
        </w:rPr>
        <w:t xml:space="preserve">- количество показателей в направлении.</w:t>
      </w:r>
    </w:p>
    <w:p>
      <w:pPr>
        <w:spacing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4)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Четвертый этап.</w:t>
      </w:r>
      <w:r>
        <w:rPr>
          <w:rFonts w:ascii="Arial" w:cs="Arial" w:eastAsia="Arial" w:hAnsi="Arial"/>
          <w:sz w:val="24"/>
          <w:szCs w:val="24"/>
        </w:rPr>
        <w:t xml:space="preserve"> Производится расчет Индекса развития каждого региона (пример: рисунок 1).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Во-первых,</w:t>
      </w:r>
      <w:r>
        <w:rPr>
          <w:rFonts w:ascii="Arial" w:cs="Arial" w:eastAsia="Arial" w:hAnsi="Arial"/>
          <w:sz w:val="24"/>
          <w:szCs w:val="24"/>
        </w:rPr>
        <w:t xml:space="preserve"> необходимо рассчитать площади </w:t>
      </w:r>
      <w:r>
        <w:rPr>
          <w:rFonts w:ascii="Arial" w:cs="Arial" w:eastAsia="Arial" w:hAnsi="Arial"/>
          <w:sz w:val="24"/>
          <w:szCs w:val="24"/>
        </w:rPr>
        <w:t xml:space="preserve">6</w:t>
      </w:r>
      <w:r>
        <w:rPr>
          <w:rFonts w:ascii="Arial" w:cs="Arial" w:eastAsia="Arial" w:hAnsi="Arial"/>
          <w:sz w:val="24"/>
          <w:szCs w:val="24"/>
        </w:rPr>
        <w:t xml:space="preserve"> треугольников (</w:t>
      </w:r>
      <w:r>
        <w:rPr>
          <w:rFonts w:ascii="Arial" w:cs="Arial" w:eastAsia="Arial" w:hAnsi="Arial"/>
          <w:sz w:val="24"/>
          <w:szCs w:val="24"/>
        </w:rPr>
        <w:t xml:space="preserve">6</w:t>
      </w:r>
      <w:r>
        <w:rPr>
          <w:rFonts w:ascii="Arial" w:cs="Arial" w:eastAsia="Arial" w:hAnsi="Arial"/>
          <w:sz w:val="24"/>
          <w:szCs w:val="24"/>
        </w:rPr>
        <w:t xml:space="preserve"> направлений оценки). Максимальное возможная площадь </w:t>
      </w:r>
      <w:r>
        <w:rPr>
          <w:rFonts w:ascii="Arial" w:cs="Arial" w:eastAsia="Arial" w:hAnsi="Arial"/>
          <w:sz w:val="24"/>
          <w:szCs w:val="24"/>
        </w:rPr>
        <w:t xml:space="preserve">равностороннего шести</w:t>
      </w:r>
      <w:r>
        <w:rPr>
          <w:rFonts w:ascii="Arial" w:cs="Arial" w:eastAsia="Arial" w:hAnsi="Arial"/>
          <w:sz w:val="24"/>
          <w:szCs w:val="24"/>
        </w:rPr>
        <w:t xml:space="preserve">угольника – 0,</w:t>
      </w:r>
      <w:r>
        <w:rPr>
          <w:rFonts w:ascii="Arial" w:cs="Arial" w:eastAsia="Arial" w:hAnsi="Arial"/>
          <w:sz w:val="24"/>
          <w:szCs w:val="24"/>
        </w:rPr>
        <w:t xml:space="preserve">433</w:t>
      </w:r>
      <w:r>
        <w:rPr>
          <w:rFonts w:ascii="Arial" w:cs="Arial" w:eastAsia="Arial" w:hAnsi="Arial"/>
          <w:sz w:val="24"/>
          <w:szCs w:val="24"/>
        </w:rPr>
        <w:t xml:space="preserve">, так как максимальное значение стороны </w:t>
      </w:r>
      <w:r>
        <w:rPr>
          <w:rFonts w:ascii="Arial" w:cs="Arial" w:eastAsia="Arial" w:hAnsi="Arial"/>
          <w:sz w:val="24"/>
          <w:szCs w:val="24"/>
        </w:rPr>
        <w:t xml:space="preserve">шести</w:t>
      </w:r>
      <w:r>
        <w:rPr>
          <w:rFonts w:ascii="Arial" w:cs="Arial" w:eastAsia="Arial" w:hAnsi="Arial"/>
          <w:sz w:val="24"/>
          <w:szCs w:val="24"/>
        </w:rPr>
        <w:t xml:space="preserve">угольника – 1.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                где: </w:t>
      </w:r>
    </w:p>
    <w:p>
      <w:pPr>
        <w:spacing w:after="120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a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, 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b</w:t>
      </w:r>
      <w:r>
        <w:rPr>
          <w:rFonts w:ascii="Arial" w:cs="Arial" w:eastAsia="Arial" w:hAnsi="Arial"/>
          <w:sz w:val="24"/>
          <w:szCs w:val="24"/>
        </w:rPr>
        <w:t xml:space="preserve"> – стороны </w:t>
      </w:r>
      <w:r>
        <w:rPr>
          <w:rFonts w:ascii="Arial" w:cs="Arial" w:eastAsia="Arial" w:hAnsi="Arial"/>
          <w:sz w:val="24"/>
          <w:szCs w:val="24"/>
        </w:rPr>
        <w:t xml:space="preserve">шести</w:t>
      </w:r>
      <w:r>
        <w:rPr>
          <w:rFonts w:ascii="Arial" w:cs="Arial" w:eastAsia="Arial" w:hAnsi="Arial"/>
          <w:sz w:val="24"/>
          <w:szCs w:val="24"/>
        </w:rPr>
        <w:t xml:space="preserve">угольника или же значения направлений </w:t>
      </w:r>
      <w:r>
        <w:rPr>
          <w:rFonts w:ascii="Arial" w:cs="Arial" w:eastAsia="Arial" w:hAnsi="Arial"/>
          <w:sz w:val="24"/>
          <w:szCs w:val="24"/>
        </w:rPr>
        <w:t xml:space="preserve">                                         (</w:t>
      </w:r>
      <w:r>
        <w:rPr>
          <w:rFonts w:ascii="Arial" w:cs="Arial" w:eastAsia="Arial" w:hAnsi="Arial"/>
          <w:sz w:val="24"/>
          <w:szCs w:val="24"/>
        </w:rPr>
        <w:t xml:space="preserve">, 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с</w:t>
      </w:r>
      <w:r>
        <w:rPr>
          <w:rFonts w:ascii="Arial" w:cs="Arial" w:eastAsia="Arial" w:hAnsi="Arial"/>
          <w:sz w:val="24"/>
          <w:szCs w:val="24"/>
        </w:rPr>
        <w:t xml:space="preserve"> – угол между ними.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Во-вторых</w:t>
      </w:r>
      <w:r>
        <w:rPr>
          <w:rFonts w:ascii="Arial" w:cs="Arial" w:eastAsia="Arial" w:hAnsi="Arial"/>
          <w:sz w:val="24"/>
          <w:szCs w:val="24"/>
        </w:rPr>
        <w:t xml:space="preserve">, для расчета Индекса регионального развития производится сложение площадей всех </w:t>
      </w:r>
      <w:r>
        <w:rPr>
          <w:rFonts w:ascii="Arial" w:cs="Arial" w:eastAsia="Arial" w:hAnsi="Arial"/>
          <w:sz w:val="24"/>
          <w:szCs w:val="24"/>
        </w:rPr>
        <w:t xml:space="preserve">6 шести</w:t>
      </w:r>
      <w:r>
        <w:rPr>
          <w:rFonts w:ascii="Arial" w:cs="Arial" w:eastAsia="Arial" w:hAnsi="Arial"/>
          <w:sz w:val="24"/>
          <w:szCs w:val="24"/>
        </w:rPr>
        <w:t xml:space="preserve">угольников для получения совокупной площади, а полученный результат делится на максимально возможную площадь данных </w:t>
      </w:r>
      <w:r>
        <w:rPr>
          <w:rFonts w:ascii="Arial" w:cs="Arial" w:eastAsia="Arial" w:hAnsi="Arial"/>
          <w:sz w:val="24"/>
          <w:szCs w:val="24"/>
        </w:rPr>
        <w:t xml:space="preserve">шести</w:t>
      </w:r>
      <w:r>
        <w:rPr>
          <w:rFonts w:ascii="Arial" w:cs="Arial" w:eastAsia="Arial" w:hAnsi="Arial"/>
          <w:sz w:val="24"/>
          <w:szCs w:val="24"/>
        </w:rPr>
        <w:t xml:space="preserve">угольников.</w:t>
      </w:r>
    </w:p>
    <w:p>
      <w:pPr>
        <w:spacing w:after="120"/>
        <w:ind w:firstLine="993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,   </w:t>
      </w:r>
      <w:r>
        <w:rPr>
          <w:rFonts w:ascii="Arial" w:cs="Arial" w:eastAsia="Arial" w:hAnsi="Arial"/>
          <w:sz w:val="24"/>
          <w:szCs w:val="24"/>
        </w:rPr>
        <w:t xml:space="preserve"> ,  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i</w:t>
      </w:r>
      <w:r>
        <w:rPr>
          <w:rFonts w:ascii="Arial" w:cs="Arial" w:eastAsia="Arial" w:hAnsi="Arial"/>
          <w:sz w:val="24"/>
          <w:szCs w:val="24"/>
        </w:rPr>
        <w:t xml:space="preserve">=2</w:t>
      </w:r>
      <w:r>
        <w:rPr>
          <w:rFonts w:ascii="Arial" w:cs="Arial" w:eastAsia="Arial" w:hAnsi="Arial"/>
          <w:sz w:val="24"/>
          <w:szCs w:val="24"/>
        </w:rPr>
        <w:t xml:space="preserve">,6 (6*</w:t>
      </w:r>
      <w:r>
        <w:rPr>
          <w:rFonts w:ascii="Arial" w:cs="Arial" w:eastAsia="Arial" w:hAnsi="Arial"/>
          <w:sz w:val="24"/>
          <w:szCs w:val="24"/>
        </w:rPr>
        <w:t xml:space="preserve">0,</w:t>
      </w:r>
      <w:r>
        <w:rPr>
          <w:rFonts w:ascii="Arial" w:cs="Arial" w:eastAsia="Arial" w:hAnsi="Arial"/>
          <w:sz w:val="24"/>
          <w:szCs w:val="24"/>
        </w:rPr>
        <w:t xml:space="preserve">433) 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где: </w:t>
      </w:r>
    </w:p>
    <w:p>
      <w:pPr>
        <w:spacing w:after="120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k</w:t>
      </w:r>
      <w:r>
        <w:rPr>
          <w:rFonts w:ascii="Arial" w:cs="Arial" w:eastAsia="Arial" w:hAnsi="Arial"/>
          <w:sz w:val="24"/>
          <w:szCs w:val="24"/>
        </w:rPr>
        <w:t xml:space="preserve"> – количество </w:t>
      </w:r>
      <w:r>
        <w:rPr>
          <w:rFonts w:ascii="Arial" w:cs="Arial" w:eastAsia="Arial" w:hAnsi="Arial"/>
          <w:sz w:val="24"/>
          <w:szCs w:val="24"/>
        </w:rPr>
        <w:t xml:space="preserve">шести</w:t>
      </w:r>
      <w:r>
        <w:rPr>
          <w:rFonts w:ascii="Arial" w:cs="Arial" w:eastAsia="Arial" w:hAnsi="Arial"/>
          <w:sz w:val="24"/>
          <w:szCs w:val="24"/>
        </w:rPr>
        <w:t xml:space="preserve">угольников;</w:t>
      </w:r>
    </w:p>
    <w:p>
      <w:pPr>
        <w:spacing w:after="120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i</w:t>
      </w:r>
      <w:r>
        <w:rPr>
          <w:rFonts w:ascii="Arial" w:cs="Arial" w:eastAsia="Arial" w:hAnsi="Arial"/>
          <w:sz w:val="24"/>
          <w:szCs w:val="24"/>
        </w:rPr>
        <w:t xml:space="preserve"> – максимальная сумма всех </w:t>
      </w:r>
      <w:r>
        <w:rPr>
          <w:rFonts w:ascii="Arial" w:cs="Arial" w:eastAsia="Arial" w:hAnsi="Arial"/>
          <w:sz w:val="24"/>
          <w:szCs w:val="24"/>
        </w:rPr>
        <w:t xml:space="preserve">шестиу</w:t>
      </w:r>
      <w:r>
        <w:rPr>
          <w:rFonts w:ascii="Arial" w:cs="Arial" w:eastAsia="Arial" w:hAnsi="Arial"/>
          <w:sz w:val="24"/>
          <w:szCs w:val="24"/>
        </w:rPr>
        <w:t xml:space="preserve">гольников.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40" w:before="200"/>
        <w:ind w:firstLine="709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Пример расчета Индекса развития j-го региона:</w:t>
      </w:r>
    </w:p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осле 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этапа 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расчета интегральных показателей направлений 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j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-го региона, имеются следующие результаты: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                1) Социальное благополучие - 0,8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8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     2) Экономический рост и эффективность - 0,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95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     3) Развитие деловой среды и финансового сектора - 0,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76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     4) Развитие бюджетной сферы - 0,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83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5) Охрана окружающей среды – 0,64.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     6) Развитие инфраструктуры – 0,74.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                Далее, необходимо произвести расчеты площадей 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6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 угольников – A, B, C, D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, 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E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, 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F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 и их сумму: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                = 0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,433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*0,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74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*0,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88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=0,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282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                = 0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,433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*0,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88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*0,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95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=0,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362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                = 0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,433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*0,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95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*0,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76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=0,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313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                = 0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,433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*0,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76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*0,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83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=0,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273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= 0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,433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*0,83*0,64=0,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2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30;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= 0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,433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*0,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64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*0,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7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4=0,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20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5;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                = 0,282+0,362+0,313+0,273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+0,230+0,205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 = 1,63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5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                Затем, проведем расчет интегрального показателя 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j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-го региона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: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                Таким образом Индекс развития 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j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-го региона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 составил 63 %.</w:t>
            </w:r>
          </w:p>
        </w:tc>
      </w:tr>
    </w:tbl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C</w:t>
      </w:r>
      <w:r>
        <w:rPr>
          <w:rFonts w:ascii="Arial" w:cs="Arial" w:eastAsia="Arial" w:hAnsi="Arial"/>
          <w:sz w:val="24"/>
          <w:szCs w:val="24"/>
        </w:rPr>
        <w:t xml:space="preserve"> помощью данной диаграммы возможно отображать состояние 6 направлений каждого региона в отдельности и проводить наглядное сравнение за базовый и отчетный период.</w:t>
      </w:r>
    </w:p>
    <w:p>
      <w:pPr>
        <w:spacing w:after="200"/>
        <w:ind w:firstLine="709"/>
        <w:jc w:val="center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4.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Построение рейтинга регионального развития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9. Результаты проведенных расчетов Индекса регионального развития по каждому региону служит основанием для формирования рейтинга регионального развития за отчетный период, чем выше индекс, тем лучше социально-экономическое положение региона.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10. Результаты расчетов Индексов развития регионов распределяются согласно таблице 2</w:t>
      </w:r>
      <w:r>
        <w:rPr>
          <w:rFonts w:ascii="Arial" w:cs="Arial" w:eastAsia="Arial" w:hAnsi="Arial"/>
          <w:sz w:val="24"/>
          <w:szCs w:val="24"/>
        </w:rPr>
        <w:t xml:space="preserve">.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right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Таблица 2</w:t>
      </w:r>
    </w:p>
    <w:p>
      <w:pPr>
        <w:spacing w:after="120"/>
        <w:jc w:val="right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Рейтинг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развития областей и городов Бишкек и Ош за отчетный период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4651"/>
        <w:gridCol w:w="3659"/>
        <w:gridCol w:w="1868"/>
      </w:tblGrid>
      <w:tr>
        <w:tc>
          <w:tcPr>
            <w:tcW w:type="dxa" w:w="4651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Наименование региона </w:t>
            </w:r>
            <w:r>
              <w:rPr>
                <w:rFonts w:ascii="Arial" w:cs="Arial" w:eastAsia="Arial" w:hAnsi="Arial"/>
                <w:b/>
                <w:bCs/>
                <w:i/>
                <w:iCs/>
                <w:sz w:val="24"/>
                <w:szCs w:val="24"/>
              </w:rPr>
              <w:t xml:space="preserve">(</w:t>
            </w:r>
            <w:r>
              <w:rPr>
                <w:rFonts w:ascii="Arial" w:cs="Arial" w:eastAsia="Arial" w:hAnsi="Arial"/>
                <w:b/>
                <w:bCs/>
                <w:i/>
                <w:iCs/>
                <w:sz w:val="24"/>
                <w:szCs w:val="24"/>
              </w:rPr>
              <w:t xml:space="preserve">R</w:t>
            </w:r>
            <w:r>
              <w:rPr>
                <w:rFonts w:ascii="Arial" w:cs="Arial" w:eastAsia="Arial" w:hAnsi="Arial"/>
                <w:b/>
                <w:bCs/>
                <w:i/>
                <w:iCs/>
                <w:sz w:val="24"/>
                <w:szCs w:val="24"/>
              </w:rPr>
              <w:t xml:space="preserve">)</w:t>
            </w:r>
          </w:p>
        </w:tc>
        <w:tc>
          <w:tcPr>
            <w:tcW w:type="dxa" w:w="3659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Значение Индекса развития региона за отчетный период</w:t>
            </w:r>
          </w:p>
        </w:tc>
        <w:tc>
          <w:tcPr>
            <w:tcW w:type="dxa" w:w="1868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Место в рейтинге, №</w:t>
            </w:r>
          </w:p>
        </w:tc>
      </w:tr>
      <w:tr>
        <w:tc>
          <w:tcPr>
            <w:tcW w:type="dxa" w:w="465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i/>
                <w:iCs/>
                <w:sz w:val="24"/>
                <w:szCs w:val="24"/>
              </w:rPr>
              <w:t xml:space="preserve">R1</w:t>
            </w:r>
          </w:p>
        </w:tc>
        <w:tc>
          <w:tcPr>
            <w:tcW w:type="dxa" w:w="365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max</w:t>
            </w:r>
          </w:p>
        </w:tc>
        <w:tc>
          <w:tcPr>
            <w:tcW w:type="dxa" w:w="186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1</w:t>
            </w:r>
          </w:p>
        </w:tc>
      </w:tr>
      <w:tr>
        <w:tc>
          <w:tcPr>
            <w:tcW w:type="dxa" w:w="465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i/>
                <w:iCs/>
                <w:sz w:val="24"/>
                <w:szCs w:val="24"/>
              </w:rPr>
              <w:t xml:space="preserve">R2</w:t>
            </w:r>
          </w:p>
        </w:tc>
        <w:tc>
          <w:tcPr>
            <w:tcW w:type="dxa" w:w="365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…</w:t>
            </w:r>
          </w:p>
        </w:tc>
        <w:tc>
          <w:tcPr>
            <w:tcW w:type="dxa" w:w="186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...</w:t>
            </w:r>
          </w:p>
        </w:tc>
      </w:tr>
      <w:tr>
        <w:tc>
          <w:tcPr>
            <w:tcW w:type="dxa" w:w="465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…</w:t>
            </w:r>
          </w:p>
        </w:tc>
        <w:tc>
          <w:tcPr>
            <w:tcW w:type="dxa" w:w="365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min</w:t>
            </w:r>
          </w:p>
        </w:tc>
        <w:tc>
          <w:tcPr>
            <w:tcW w:type="dxa" w:w="186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9</w:t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bpwa__wqpjswlsczjklq0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dalil.kg/document/200773</w:t>
      </w:r>
    </w:hyperlink>
  </w:p>
  <w:p>
    <w:pPr>
      <w:spacing w:after="0" w:before="40"/>
      <w:jc w:val="center"/>
    </w:pPr>
    <w:hyperlink w:history="1" r:id="rIdtrhpqhokkhdl7i4tgerwx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pksrfcqgf6sq60avpp5qz" Type="http://schemas.openxmlformats.org/officeDocument/2006/relationships/hyperlink" Target="https://dalil.kg/document/200772" TargetMode="External"/><Relationship Id="rIdx9srv6jgpzngrntwbo9uh" Type="http://schemas.openxmlformats.org/officeDocument/2006/relationships/hyperlink" Target="https://dalil.kg/document/200774#pr2" TargetMode="External"/><Relationship Id="rId1nwh6boyr10i0xk1hfvtv" Type="http://schemas.openxmlformats.org/officeDocument/2006/relationships/hyperlink" Target="https://dalil.kg/document/200774" TargetMode="External"/><Relationship Id="rId8" Type="http://schemas.openxmlformats.org/officeDocument/2006/relationships/image" Target="media/8de64316e95979c063c17bcd5380dc052a2594e9.png"/><Relationship Id="rId12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bpwa__wqpjswlsczjklq0" Type="http://schemas.openxmlformats.org/officeDocument/2006/relationships/hyperlink" Target="https://dalil.kg/document/200773" TargetMode="External"/><Relationship Id="rIdtrhpqhokkhdl7i4tgerwx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2026-09-29T19:42:25.817Z</dcterms:created>
  <dcterms:modified xsi:type="dcterms:W3CDTF">2026-09-29T19:42:25.817Z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