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jc w:val="right"/>
      </w:pPr>
      <w:hyperlink w:history="1" r:id="rIdvdjpte-auqnkfeh4wk-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АДМИНИСТРАТИВНЫЙ РЕГЛАМЕНТ 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«Подтверждение сведений о транспортных средствах и водительских удостоверениях»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4, пункт 89, Единого реестра государственных услуг)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Предоставление данной государственной услуги осуществляется территориальными регистрационными отделами и секторами Государственного учреждения «Унаа» Министерства внутренних дел Кыргызской Республики (далее – территориальные подразделения ГУ «Унаа»).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2. 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gekmsfap9qroffsidly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органам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, их структурными подразделениями и подведомственными учреждениями»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3. 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(1) Срок предоставления услуги: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время на прием документов, с учетом ожидания в очереди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15 минут.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срок на подготовку конечного результата - 1 рабочий день.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время на выдачу результата услуги, с учетом ожидания в очереди - 15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срок оказания государственной услуги в электронном формате - моментально в период отправки запроса.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(2) Перечень документов, необходимых для получения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2.1. Для получения сведений об автомототранспортных средствах, самоходных технологических машинах, тракторах (далее - транспортные средства) и водительских удостоверениях в бумажном виде физические и юридические лица представляют: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физических лиц: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заявление установленного образца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(ID-карта), постоянный вид на жительство иностранного гражданина и лица без гражданства;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паспорт либо иной документ, удостоверяющий личность иностранного гражданина и лица без гражданства,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Республика, а также его копия с действующей соответствующей визой;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квитанция платежа за подтверждение сведений о транспортных средствах и водительских удостоверениях</w:t>
      </w:r>
      <w:r>
        <w:rPr>
          <w:rFonts w:ascii="Arial" w:cs="Arial" w:eastAsia="Arial" w:hAnsi="Arial"/>
          <w:sz w:val="24"/>
          <w:szCs w:val="24"/>
        </w:rPr>
        <w:t xml:space="preserve">. С</w:t>
      </w:r>
      <w:r>
        <w:rPr>
          <w:rFonts w:ascii="Arial" w:cs="Arial" w:eastAsia="Arial" w:hAnsi="Arial"/>
          <w:sz w:val="24"/>
          <w:szCs w:val="24"/>
        </w:rPr>
        <w:t xml:space="preserve">тоимость </w:t>
      </w:r>
      <w:r>
        <w:rPr>
          <w:rFonts w:ascii="Arial" w:cs="Arial" w:eastAsia="Arial" w:hAnsi="Arial"/>
          <w:sz w:val="24"/>
          <w:szCs w:val="24"/>
        </w:rPr>
        <w:t xml:space="preserve">услуги</w:t>
      </w:r>
      <w:r>
        <w:rPr>
          <w:rFonts w:ascii="Arial" w:cs="Arial" w:eastAsia="Arial" w:hAnsi="Arial"/>
          <w:sz w:val="24"/>
          <w:szCs w:val="24"/>
        </w:rPr>
        <w:t xml:space="preserve"> согласовывается с уполномоченным государственным органом в сфере антимонопольного регулирования Кыргызской Республики. Оплата может производиться посредством электронных систем приема платежей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юридических лиц: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заявление установленного образца;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заверенная копия свидетельства о государственной регистрации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квитанция платежа за подтверждение сведений о транспортных средствах и водительских удостоверениях</w:t>
      </w:r>
      <w:r>
        <w:rPr>
          <w:rFonts w:ascii="Arial" w:cs="Arial" w:eastAsia="Arial" w:hAnsi="Arial"/>
          <w:sz w:val="24"/>
          <w:szCs w:val="24"/>
        </w:rPr>
        <w:t xml:space="preserve">. С</w:t>
      </w:r>
      <w:r>
        <w:rPr>
          <w:rFonts w:ascii="Arial" w:cs="Arial" w:eastAsia="Arial" w:hAnsi="Arial"/>
          <w:sz w:val="24"/>
          <w:szCs w:val="24"/>
        </w:rPr>
        <w:t xml:space="preserve">тоимость </w:t>
      </w:r>
      <w:r>
        <w:rPr>
          <w:rFonts w:ascii="Arial" w:cs="Arial" w:eastAsia="Arial" w:hAnsi="Arial"/>
          <w:sz w:val="24"/>
          <w:szCs w:val="24"/>
        </w:rPr>
        <w:t xml:space="preserve">услуги</w:t>
      </w:r>
      <w:r>
        <w:rPr>
          <w:rFonts w:ascii="Arial" w:cs="Arial" w:eastAsia="Arial" w:hAnsi="Arial"/>
          <w:sz w:val="24"/>
          <w:szCs w:val="24"/>
        </w:rPr>
        <w:t xml:space="preserve"> согласовывается с уполномоченным государственным органом в сфере антимонопольного регулирования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представителя юридического лица подтверждаются доверенностью от имени юридического лица, заверенной подписью его руководителя или иного лица, уполномоченного на это его учредительными документами и печатью этой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2.2. Для получения сведений о транспортных средствах в электронном формате необходимо на Государственном портале электронных услуг (далее – ГПЭУ) или в мобильном приложении: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ввести государственный регистрационный номерной знак транспортного средства по установленному формату;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произвести оплату в электронном формате посредством осуществления безналичных платежей (мобильные приложения, интернет-банкинг, банковские карты и т.д.), а также посредством терминалов, касс банков и других точек приема платежей по сгенерированному коду.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(3) Стоимость услуги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3.1.</w:t>
      </w:r>
      <w:r>
        <w:rPr>
          <w:rFonts w:ascii="Arial" w:cs="Arial" w:eastAsia="Arial" w:hAnsi="Arial"/>
          <w:sz w:val="24"/>
          <w:szCs w:val="24"/>
        </w:rPr>
        <w:t xml:space="preserve"> Стоимость п</w:t>
      </w:r>
      <w:r>
        <w:rPr>
          <w:rFonts w:ascii="Arial" w:cs="Arial" w:eastAsia="Arial" w:hAnsi="Arial"/>
          <w:sz w:val="24"/>
          <w:szCs w:val="24"/>
        </w:rPr>
        <w:t xml:space="preserve">латны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услуг определяется приказом руководства уполномоченного государственного органа в сфере защиты прав и свобод человека, охраны правопорядка, обеспечения общественной безопасности по согласованию с уполномоченным государственным органом в сфере антимонопольной политики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Услуга п</w:t>
      </w:r>
      <w:r>
        <w:rPr>
          <w:rFonts w:ascii="Arial" w:cs="Arial" w:eastAsia="Arial" w:hAnsi="Arial"/>
          <w:sz w:val="24"/>
          <w:szCs w:val="24"/>
        </w:rPr>
        <w:t xml:space="preserve">одтверждение сведений о транспортных средствах и водительских удостоверениях</w:t>
      </w:r>
      <w:r>
        <w:rPr>
          <w:rFonts w:ascii="Arial" w:cs="Arial" w:eastAsia="Arial" w:hAnsi="Arial"/>
          <w:sz w:val="24"/>
          <w:szCs w:val="24"/>
        </w:rPr>
        <w:t xml:space="preserve"> включает в себя следующие сведения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номерной знак транспортного средства, указанного в запросе;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транспортного средства;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модель транспортного средства;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 транспортного средства;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 транспортного средства;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двигателя транспортного средства;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расположение руля транспортного средства;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нахождении транспортного средства в аресте/залоге (наличие и количество арестов/залогов);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штрафах за нарушения, совершенные транспортным средством (наличие и количество штрафов);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история о владельце/ах транспортного средства за определенный период времени (количество владельцев).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Функциональные возможности имеющейся веб-страницы позволяют осуществить весь цикл получения электронной услуги исключительно электронным способом, включая электронную оплату налогов и сборов, через государственный портал электронных услуг: portal.tunduk.kg.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(4) Результат услуги: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выдача бумажной справки-подтверждения о наличии либо отсутствии зарегистрированных за гражданами транспортных средств и о получении на территории Кыргызской Республики водительского удостоверения;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получение сведений о транспортных средствах в электронном формате с возможностью просмотра и распечатки.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"/>
        <w:gridCol w:w="5303"/>
        <w:gridCol w:w="4695"/>
      </w:tblGrid>
      <w:tr>
        <w:tc>
          <w:tcPr>
            <w:tcW w:type="dxa" w:w="1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5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Название процедуры</w:t>
            </w:r>
          </w:p>
        </w:tc>
        <w:tc>
          <w:tcPr>
            <w:tcW w:type="dxa" w:w="4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Прием документов от физических или юридических лиц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Проверка наличия или отсутствия сведения о транспортных средствах или водительск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их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удостоверени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й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в автоматизированных информационных системах «Регистр транспортных средств», «Регистр водительского состава», подготовка справки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Процедура выполняется парарельно в СМВЭ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«Тундук».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Выдача справки, подтверждающей сведения о транспортных средствах и водительских удостоверениях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</w:tblGrid>
      <w:tr>
        <w:tc>
          <w:tcPr>
            <w:tcW w:type="dxa" w:w="10183"/>
            <w:gridSpan w:val="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4792"/>
            <w:gridSpan w:val="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8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Бэк-офис</w:t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95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14"/>
        <w:gridCol w:w="1697"/>
        <w:gridCol w:w="1285"/>
        <w:gridCol w:w="1697"/>
        <w:gridCol w:w="3085"/>
      </w:tblGrid>
      <w:tr>
        <w:tc>
          <w:tcPr>
            <w:tcW w:type="dxa" w:w="24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3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Проверка документов</w:t>
            </w:r>
          </w:p>
        </w:tc>
      </w:tr>
      <w:tr>
        <w:tc>
          <w:tcPr>
            <w:tcW w:type="dxa" w:w="2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Проверка соответствия гражданина, подающего заявление представленному паспорту, и проверка соответствия представленных документов установленным требованиям.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соответствия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jvpyoy2xwimnmtbccv8j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КР «О дорожном движении»;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hm011zvi5e5gkprjr4rc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КР от 18 декабря 2017 года №819 «Об утверждении Правил приема квалификационных экзаменов, выдачи водительских удостоверений и удостоверений тракториста-машиниста»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daq9xhzlc1dpmig8lhlj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КР от 23 июня 2017 года № 407 «О вопросах регистрации транспортных средств, установок и оборудования»</w:t>
            </w:r>
          </w:p>
        </w:tc>
      </w:tr>
      <w:tr>
        <w:tc>
          <w:tcPr>
            <w:tcW w:type="dxa" w:w="2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Проверка законности полномочий представителя юридического лица на подачу заявления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законности полномочий представителя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В случае отсутствия необходимых документов или выявления фактов несоответствия их требованиям, а также несоответствия их представленному транспортному средству мотивированно отказывается в выдачи сведений о транспортных средствах и водительских удостоверениях физическому или юридическому лицу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1) Прием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Отказ в приеме документов, устно либо в письменной форме по требованию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Приём заявления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не более 15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Проверка наличия или отсутствия сведений о транспортных средствах или водительского удостоверения в автоматизированных информационных системах «Регистр транспортных средств», «Регистр водительского состава», подготовка бумажной справки.</w:t>
            </w:r>
          </w:p>
        </w:tc>
      </w:tr>
      <w:tr>
        <w:tc>
          <w:tcPr>
            <w:tcW w:type="dxa" w:w="2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 Проверка наличия или отсутствия сведений о транспортных средствах или водительских удостоверений в автоматизированных информационных системах «Регистр транспортных средств», «Регистр водительского состава», подготовка бумажной справки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либо отсутствие сведений о транспортных средствах или водительского удостоверения</w:t>
            </w:r>
          </w:p>
        </w:tc>
        <w:tc>
          <w:tcPr>
            <w:tcW w:type="dxa" w:w="30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inmkkb8oblo5ow43q_yx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КР «О дорожном движении»;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uzkc7ibmzqlnt9tlnjl6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КР от 18 декабря 2017 года №819 «Об утверждении Правил приема квалификационных экзаменов, выдачи водительских удостоверений и удостоверений тракториста-машиниста»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e8llmteoczxqvbytacdc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КР от 23 июня 2017 года № 407 «О вопросах регистрации транспортных средств, установок и оборудования»</w:t>
            </w:r>
          </w:p>
        </w:tc>
      </w:tr>
      <w:tr>
        <w:tc>
          <w:tcPr>
            <w:tcW w:type="dxa" w:w="2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 Выдача бумажной справки, содержащей сведения о транспортных средствах и водительских удостоверениях.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ыдача сведений о транспортных средствах и водительских удостоверениях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 не более 15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получении услуг в электронном формате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Проверка наличия или отсутствия сведений о транспортных средствах в автоматизированной информационной системе «Регистр транспортных средств» при электронном запросе</w:t>
            </w:r>
          </w:p>
        </w:tc>
      </w:tr>
      <w:tr>
        <w:tc>
          <w:tcPr>
            <w:tcW w:type="dxa" w:w="2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Проверка наличия или отсутствия сведений о транспортных средствах в автоматизированной информационной системе «Регистр транспортных средств»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Введенный запрос обрабатывается автоматически информационной системой электронного сервиса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режиме онлайн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либо отсутствие сведений о транспортных средствах</w:t>
            </w:r>
          </w:p>
        </w:tc>
        <w:tc>
          <w:tcPr>
            <w:tcW w:type="dxa" w:w="3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услуг: portal.tunduk.kg.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Сформированный ответ по результатам проверки на наличие или отсутствия сведений о транспортных средствах, а также сведений о временном прекращении государственной регистрации транспортного средства в автоматизированной информационной системе «Регистр транспортных средств».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автоматически в режиме онлайн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Выдача сведений о транспортных средствах в электронном виде</w:t>
            </w:r>
          </w:p>
        </w:tc>
      </w:tr>
      <w:tr>
        <w:tc>
          <w:tcPr>
            <w:tcW w:type="dxa" w:w="2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Формирование выписки или сведений о транспортных средствах в электронном виде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Выдается автоматически информационной системой электронного сервиса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режиме онлайн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Просмотр выписки или сведений о транспортных средствах в электронном виде с возможностью распечатки.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автоматически в режиме онлайн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Схема (алгоритм) выполнения процедуры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 При получении услуг в электронном формате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комиссия, образован</w:t>
      </w:r>
      <w:r>
        <w:rPr>
          <w:rFonts w:ascii="Arial" w:cs="Arial" w:eastAsia="Arial" w:hAnsi="Arial"/>
          <w:sz w:val="24"/>
          <w:szCs w:val="24"/>
        </w:rPr>
        <w:t xml:space="preserve">ная</w:t>
      </w:r>
      <w:r>
        <w:rPr>
          <w:rFonts w:ascii="Arial" w:cs="Arial" w:eastAsia="Arial" w:hAnsi="Arial"/>
          <w:sz w:val="24"/>
          <w:szCs w:val="24"/>
        </w:rPr>
        <w:t xml:space="preserve"> приказом ГУ «Унаа».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проводится еже</w:t>
      </w:r>
      <w:r>
        <w:rPr>
          <w:rFonts w:ascii="Arial" w:cs="Arial" w:eastAsia="Arial" w:hAnsi="Arial"/>
          <w:sz w:val="24"/>
          <w:szCs w:val="24"/>
        </w:rPr>
        <w:t xml:space="preserve">годно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внутренних дел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</w:t>
      </w:r>
      <w:r>
        <w:rPr>
          <w:rFonts w:ascii="Arial" w:cs="Arial" w:eastAsia="Arial" w:hAnsi="Arial"/>
          <w:sz w:val="24"/>
          <w:szCs w:val="24"/>
        </w:rPr>
        <w:t xml:space="preserve">момента</w:t>
      </w:r>
      <w:r>
        <w:rPr>
          <w:rFonts w:ascii="Arial" w:cs="Arial" w:eastAsia="Arial" w:hAnsi="Arial"/>
          <w:sz w:val="24"/>
          <w:szCs w:val="24"/>
        </w:rPr>
        <w:t xml:space="preserve"> поступления справки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</w:t>
      </w:r>
      <w:r>
        <w:rPr>
          <w:rFonts w:ascii="Arial" w:cs="Arial" w:eastAsia="Arial" w:hAnsi="Arial"/>
          <w:sz w:val="24"/>
          <w:szCs w:val="24"/>
        </w:rPr>
        <w:t xml:space="preserve">работники</w:t>
      </w:r>
      <w:r>
        <w:rPr>
          <w:rFonts w:ascii="Arial" w:cs="Arial" w:eastAsia="Arial" w:hAnsi="Arial"/>
          <w:sz w:val="24"/>
          <w:szCs w:val="24"/>
        </w:rPr>
        <w:t xml:space="preserve"> Государственного учреждения «Унаа» Министерства внутренних дел Кыргызской Республики несут дисциплинарную, административную и уголовную ответственность.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 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Шералиев Бакыт Кемелович, заместитель директора ГУ «Унаа» Министерства 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Канатбеков Руслан Канатбекович, главный специалист отдела правового обеспечения ГУ </w:t>
      </w:r>
      <w:r>
        <w:rPr>
          <w:rFonts w:ascii="Arial" w:cs="Arial" w:eastAsia="Arial" w:hAnsi="Arial"/>
          <w:sz w:val="24"/>
          <w:szCs w:val="24"/>
        </w:rPr>
        <w:t xml:space="preserve">«Унаа»</w:t>
      </w:r>
      <w:r>
        <w:rPr>
          <w:rFonts w:ascii="Arial" w:cs="Arial" w:eastAsia="Arial" w:hAnsi="Arial"/>
          <w:sz w:val="24"/>
          <w:szCs w:val="24"/>
        </w:rPr>
        <w:t xml:space="preserve">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wlji0jzm6hidbh9zv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dalil.kg/document/200785</w:t>
      </w:r>
    </w:hyperlink>
  </w:p>
  <w:p>
    <w:pPr>
      <w:spacing w:after="0" w:before="40"/>
      <w:jc w:val="center"/>
    </w:pPr>
    <w:hyperlink w:history="1" r:id="rIddktiszgqggethpavrsc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jpte-auqnkfeh4wk-gw" Type="http://schemas.openxmlformats.org/officeDocument/2006/relationships/hyperlink" Target="https://dalil.kg/document/200775" TargetMode="External"/><Relationship Id="rIdgekmsfap9qroffsidlymp" Type="http://schemas.openxmlformats.org/officeDocument/2006/relationships/hyperlink" Target="https://dalil.kg/document/96552" TargetMode="External"/><Relationship Id="rIdjvpyoy2xwimnmtbccv8jh" Type="http://schemas.openxmlformats.org/officeDocument/2006/relationships/hyperlink" Target="https://dalil.kg/document/60" TargetMode="External"/><Relationship Id="rIdhm011zvi5e5gkprjr4rch" Type="http://schemas.openxmlformats.org/officeDocument/2006/relationships/hyperlink" Target="https://dalil.kg/document/11616" TargetMode="External"/><Relationship Id="rIddaq9xhzlc1dpmig8lhljs" Type="http://schemas.openxmlformats.org/officeDocument/2006/relationships/hyperlink" Target="https://dalil.kg/document/100148" TargetMode="External"/><Relationship Id="rIdinmkkb8oblo5ow43q_yxc" Type="http://schemas.openxmlformats.org/officeDocument/2006/relationships/hyperlink" Target="https://dalil.kg/document/60" TargetMode="External"/><Relationship Id="rIduzkc7ibmzqlnt9tlnjl6i" Type="http://schemas.openxmlformats.org/officeDocument/2006/relationships/hyperlink" Target="https://dalil.kg/document/11616" TargetMode="External"/><Relationship Id="rIde8llmteoczxqvbytacdcp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wlji0jzm6hidbh9zv-r" Type="http://schemas.openxmlformats.org/officeDocument/2006/relationships/hyperlink" Target="https://dalil.kg/document/200785" TargetMode="External"/><Relationship Id="rIddktiszgqggethpavrsc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2026-09-29T19:48:12.641Z</dcterms:created>
  <dcterms:modified xsi:type="dcterms:W3CDTF">2026-09-29T19:48:12.641Z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