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 государственных услуг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Учебно-специализированной таможни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«Предоставление дополнительного профессионального образования»,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(глава 1 пункт 66)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Предоставление данной государственной услуги осуществляется Учебно-специализированной таможней Государственной таможенной службы при Министерстве финансов Кыргызской Республики (далее – УСТ).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административный регламент государственной услуги «Предоставление дополнительного профессионального образования» (далее – административный регламент), разработан в целях оптимизации административно-управленческих процессов по предоставлению данной услуги, а также повышения персональной ответственности должностных лиц, задействованных в процессе ее предоставления (пункт 66 главы 1 </w:t>
      </w:r>
      <w:hyperlink w:history="1" r:id="rId5bdtgbllekvtgsc39um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органами исполнительной власти, их структурными подразделениями и подведомственными учреждениями, утвержденного </w:t>
      </w:r>
      <w:hyperlink w:history="1" r:id="rIdjmgbyypivvwstxmybew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№85).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соответствует требованиям соответствующего </w:t>
      </w:r>
      <w:hyperlink w:history="1" r:id="rIdljhpcocsr_33pmpfgy5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услуги, утвержденного </w:t>
      </w:r>
      <w:hyperlink w:history="1" r:id="rIdyx481qcjzn0m2yhnoav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№303.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Общее время предоставления услуги: Предельное время на прием документов на получение государственной услуги составляет не более 40 минут.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срок предоставления государственной услуги составляет: 30 рабочих дней (до 120 академических часов) для слушателей курсов повышения квалификации. Выдача подтверждающих документов о потреблении услуг – до 30 минут. Консультирование граждан специалистами по телефону и при личной беседе – до 10 минут.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Перечень документов необходимых для получения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учебу предоставляет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по установленной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договор;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копию паспорта;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квитанция;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анкета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Себестоимость: Государственная услуга оказывается на платной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Прейскурант тарифов на платные образовательные услуги, проводимые УСТ, утверждается Министром финансов Кыргызской Республики, по согласованию с курирующим заместителем.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услуги отражается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Прейскуранте тарифов на платные образовательные услуги,</w:t>
      </w:r>
      <w:r>
        <w:rPr>
          <w:rFonts w:ascii="Arial" w:cs="Arial" w:eastAsia="Arial" w:hAnsi="Arial"/>
          <w:sz w:val="24"/>
          <w:szCs w:val="24"/>
        </w:rPr>
        <w:t xml:space="preserve"> который размещен на информационных стендах и официальном сайте уполномоченного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стоимость услуги составляет 20 000 (двадцать тысяч) 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услуги: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Выдача подтверждающих документов об окончании курса по дополнительному профессиональному образованию негосударственного образца</w:t>
      </w:r>
      <w:r>
        <w:rPr>
          <w:rFonts w:ascii="Arial" w:cs="Arial" w:eastAsia="Arial" w:hAnsi="Arial"/>
          <w:sz w:val="24"/>
          <w:szCs w:val="24"/>
        </w:rPr>
        <w:t xml:space="preserve"> (сертификат II уровня, сертификат I уровня, свидетельство, удостоверение, справка).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процедур, выполняемых в процессе предоставления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 услуг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01"/>
        <w:gridCol w:w="3801"/>
        <w:gridCol w:w="2576"/>
      </w:tblGrid>
      <w:tr>
        <w:tc>
          <w:tcPr>
            <w:tcW w:type="dxa" w:w="7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1</w:t>
            </w:r>
          </w:p>
        </w:tc>
      </w:tr>
      <w:tr>
        <w:tc>
          <w:tcPr>
            <w:tcW w:type="dxa" w:w="3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регистрация заявление кандидата на обучение и заключение договора об образовательной услуге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слушателя на курсы дополнительного профессионального образования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образовательной услуги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образовательной услуги 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предоставляемой образовательной услуги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Логический порядок процедур, выполняемых при оказании государственной услуги, изображен на блок-схеме ниже (Приложение 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3"/>
        <w:gridCol w:w="1803"/>
        <w:gridCol w:w="1803"/>
        <w:gridCol w:w="1803"/>
        <w:gridCol w:w="2967"/>
      </w:tblGrid>
      <w:tr>
        <w:tc>
          <w:tcPr>
            <w:tcW w:type="dxa" w:w="72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2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действия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лица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регистрация заявления кандидата на учебу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договора об оказании образовательной услуги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 ОКР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ОПО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входящей корреспонденции.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условиями договора об образовательной услуги</w:t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hyperlink w:history="1" r:id="rIdtorcmmlxipivorskhog1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«Об утверждении </w:t>
            </w:r>
            <w:hyperlink w:history="1" r:id="rIdg6crp3qacfcrcaewlx8o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органами исполнительной власти, их структурными подразделениями и их подведомственными учреждениями» от 10.02.2013 года № 85;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Государственной таможенной службы при Правительстве Кыргызской Республики «Об утверждении Положения об Учебно-специализированной таможни» от 25.10.2019 г. №35-10/280;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об оказании образовательной услуги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действия 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человека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 минут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НПА,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ведомственный акт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1: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входящей корреспонденции и предоставление договора об оказании образовательной услуги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Организационно-управленческая процедура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Зачисление слушателя на курсы дополнительного профессионального образования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2.1) Резолюция руководства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2.3) Оплата за обучение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2.4) Внесение данных слушателя в электронную базу группы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УСТ,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 ОПО,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 ОПО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специалиста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Подписания договора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в группу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hyperlink w:history="1" r:id="rIdl9l25hdfu5dltngbfana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«О типовой инструкции по делопроизводству» от 03.03.2020 г. № 120;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u-iuy3gjosfh1otjzmv2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«Об утверждении </w:t>
            </w:r>
            <w:hyperlink w:history="1" r:id="rId8hs0wtu1bdbtvzsr5n3c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формировании и применении тарифов на платные образовательные услуги» от 18.05.2009г. №300;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тарифов на платные образовательные услуги, оказываемые Учебно-специализированной таможней;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об оказании образовательной услуги.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2: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Зачисление слушателя на обучение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Административная процедура 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Условия предоставления образовательной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руководства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ОУМР, Начальник ОПО, Главный инспектор по информационным технологиям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 до 120 академических часов (в зависимости от длительности курса)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предоставление учебных аудиторий, компьютерных классов, доступа к интернету, библиотеке, раздаточных материалов.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Государственной таможенной службы при Правительстве Кыргызской Республики «Об утверждении Положения об Учебно-специализированной таможни» от 25.10.2019г. №35-10/280;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об оказании образовательной услуги.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действие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человека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 часов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НПА,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ведомственный акт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3: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Обеспечение социально и материально-технических условий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1 до 30 дней (в зависимости от длительности курса)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Специальная процедура 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Предоставления образовательной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процесс (разработка и утверждение учебно-планирующих документаций)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Учебно-методическое обеспечение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контроль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Компьютерное тестирование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ОУМР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ОУМР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ОУМР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 по информационным технологиям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 до 120 академических часов (в зависимости от длительности курса)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Успешное освоение образовательных программ дополнительного образования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случае не выполнения программ обучения, а также нарушения служебной дисциплины и законности отказа от дальнейшего предоставления образовательных услуг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1. </w:t>
            </w:r>
            <w:hyperlink w:history="1" r:id="rIdz6pvfoilw8m4ahgtvfns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«Об образовании» от 30.04.2003г. №92;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zf5j9ylkjireebdp0bu4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«</w:t>
            </w:r>
            <w:hyperlink w:history="1" r:id="rIdlrfuxqlftjlwrpah11gi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дополнительном профессиональном образовании в КР» от 03.02.2004г. №53;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hyperlink w:history="1" r:id="rIdteb3pkwhlgna7zjwvitp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«О некоторых вопросах в сфере таможенного дела» от 13 февраля 2020 года № 79;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Государственной таможенной службы при Правительстве Кыргызской Республики «Об утверждении Положения об Учебно-специализированной таможни» от 25.10.2019 г. №35-10/280;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об оказании образовательной услуги.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действия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Согласно штатной расстановки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  часов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НПА,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ведомственный акт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4: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Успешное освоение учебной программы по дополнительному профессиональному образованию.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1 до 30 дней (в зависимости от длительности курса)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Специальная процедура 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5: Результат предоставляемой образовательной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Организа-ционные работы по изготовлению подтверждающих документов об окончании курса повышения квалификации негосударственного образца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подтверждающего документа (негосударственного образца) об окончании курса по дополнительному профессиональному образованию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информации в общую базу данных слушателей УСТ ГТС при МФ 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ОПО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ОПО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ОПО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негосударственного образца (сертификат, свидетельство)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документа (негосударственного образца) об окончании курса по дополнительному профессиональному образованию. Обновленная и дополнительная база данных.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hyperlink w:history="1" r:id="rIdqmkms_cd9gmmc67sesdk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«</w:t>
            </w:r>
            <w:hyperlink w:history="1" r:id="rIdy-ihklmongziwkfwwh5x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дополнительном профессиональном образовании в КР» от 03.02.2004г. №53;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Государственной таможенной службы при Правительстве Кыргызской Республики «Об утверждении Положения об Учебно-специализированной таможни» от 25.10.2019г. №35-10/280;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Государственной таможенной службы при Правительстве Кыргызской Республики «Об утверждении Регламента проведения квалификационного экзамена на получение квалификационного свидетельства специалиста по таможенным операциям» от 30.09.2020 г. № 315;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об оказании образовательной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Приказы Учебно-специализированной таможни ГТС при МФ КР.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действия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человека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НПА,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ведомственный акт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5: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Выдача  подтверждающего документа об окончании курса повышения квалификации (негосударственного образца)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 час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Административная процедура 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Схемы (алгоритмы) выполнения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1: Прием, регистрация заявления кандидата на обучение и предоставление договора об оказании образовательной услуги.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2545"/>
        <w:gridCol w:w="2545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обращение заявителя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1.1) Прием, регистрация заявления кандидата на учебу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1.2) Предоставление договора об оказании образовательной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входящей корреспонденции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процедуре 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2: Зачисление слушателя на курсы дополнительного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профессионального образования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44"/>
        <w:gridCol w:w="1182"/>
        <w:gridCol w:w="1182"/>
        <w:gridCol w:w="1182"/>
        <w:gridCol w:w="1182"/>
        <w:gridCol w:w="2405"/>
      </w:tblGrid>
      <w:tr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2.2) Заключение договора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2.3) Предоставление счета за оплату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ли квитанция об оплате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23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4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42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 Внесение данных слушателей в электронную базу группы</w:t>
            </w:r>
          </w:p>
        </w:tc>
        <w:tc>
          <w:tcPr>
            <w:tcW w:type="dxa" w:w="23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7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Устное 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зъ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яснение</w:t>
            </w:r>
          </w:p>
        </w:tc>
      </w:tr>
      <w:tr>
        <w:tc>
          <w:tcPr>
            <w:tcW w:type="dxa" w:w="42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23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в группу</w:t>
            </w:r>
          </w:p>
        </w:tc>
        <w:tc>
          <w:tcPr>
            <w:tcW w:type="dxa" w:w="23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</w:tc>
        <w:tc>
          <w:tcPr>
            <w:tcW w:type="dxa" w:w="35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процедуре 3</w:t>
            </w:r>
          </w:p>
        </w:tc>
      </w:tr>
      <w:tr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3: Условия предоставление образовательной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9"/>
        <w:gridCol w:w="805"/>
        <w:gridCol w:w="805"/>
        <w:gridCol w:w="805"/>
        <w:gridCol w:w="805"/>
        <w:gridCol w:w="805"/>
        <w:gridCol w:w="3073"/>
      </w:tblGrid>
      <w:tr>
        <w:tc>
          <w:tcPr>
            <w:tcW w:type="dxa" w:w="3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материально-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</w:t>
            </w:r>
          </w:p>
        </w:tc>
        <w:tc>
          <w:tcPr>
            <w:tcW w:type="dxa" w:w="30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46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раздаточных материалов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учебных аудиторий и компьютерных</w:t>
            </w:r>
          </w:p>
        </w:tc>
      </w:tr>
      <w:tr>
        <w:tc>
          <w:tcPr>
            <w:tcW w:type="dxa" w:w="468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388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процедуре 4</w:t>
            </w:r>
          </w:p>
        </w:tc>
        <w:tc>
          <w:tcPr>
            <w:tcW w:type="dxa" w:w="38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4: Предоставление образовательной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0"/>
        <w:gridCol w:w="1508"/>
        <w:gridCol w:w="4580"/>
      </w:tblGrid>
      <w:tr>
        <w:tc>
          <w:tcPr>
            <w:tcW w:type="dxa" w:w="4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образовательных услуг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</w:tc>
        <w:tc>
          <w:tcPr>
            <w:tcW w:type="dxa" w:w="4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4.2) Учебно-методическое обеспечение</w:t>
            </w:r>
          </w:p>
        </w:tc>
      </w:tr>
      <w:tr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4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4.1) Учебный процесс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4.4) Компьютерное тестирование (в случае успешного освоения образовательной программы)</w:t>
            </w:r>
          </w:p>
        </w:tc>
      </w:tr>
      <w:tr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4.3) Текущий контроль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невыполнения программы обучения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4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от дальнейшего предоставления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процедуре 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5: Результат предоставляемой образовательной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5.1) Начало организационных работ по изготовлению подтверждающих документов об окончании курса повышения квалификации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5.2) Подписание подтверждающего документа (государственного образца) об окончании курса по дополнительному профессиональному образованию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5.3) Внесение информации в общую базу данных слушателей Учебно-специализированной таможни ГТС при МФ КР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подтверждающих документов об окончании курса повышения квалификации (негосударственного образца)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предоставление услуг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начальник Учебно-специализированной таможни;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исполнения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постоянно.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сотрудниками Службы внутреннего аудита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аудита, в случае выявления фактов нарушений и недостатков, по исполнению требований административного регламента, даются рекомендации по их устранению, а также должны быть приняты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
 за нарушение административного регламента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УСТ несут ответственность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или юридическим лицом,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согласован с государственными и муниципальными органами, подведомственными (структурные и территориальные)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 и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Пак Е.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Эстемесов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veoyhrmokqe8z9q17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dalil.kg/document/200841</w:t>
      </w:r>
    </w:hyperlink>
  </w:p>
  <w:p>
    <w:pPr>
      <w:spacing w:after="0" w:before="40"/>
      <w:jc w:val="center"/>
    </w:pPr>
    <w:hyperlink w:history="1" r:id="rIdmoqbutk_jl5zmvkjky7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dtgbllekvtgsc39umjg" Type="http://schemas.openxmlformats.org/officeDocument/2006/relationships/hyperlink" Target="https://dalil.kg/document/93449" TargetMode="External"/><Relationship Id="rIdjmgbyypivvwstxmybewsk" Type="http://schemas.openxmlformats.org/officeDocument/2006/relationships/hyperlink" Target="https://dalil.kg/document/93449" TargetMode="External"/><Relationship Id="rIdljhpcocsr_33pmpfgy5np" Type="http://schemas.openxmlformats.org/officeDocument/2006/relationships/hyperlink" Target="https://dalil.kg/document/159849" TargetMode="External"/><Relationship Id="rIdyx481qcjzn0m2yhnoavme" Type="http://schemas.openxmlformats.org/officeDocument/2006/relationships/hyperlink" Target="https://dalil.kg/document/96552" TargetMode="External"/><Relationship Id="rIdtorcmmlxipivorskhog1w" Type="http://schemas.openxmlformats.org/officeDocument/2006/relationships/hyperlink" Target="https://dalil.kg/document/93449" TargetMode="External"/><Relationship Id="rIdg6crp3qacfcrcaewlx8om" Type="http://schemas.openxmlformats.org/officeDocument/2006/relationships/hyperlink" Target="https://dalil.kg/document/93449" TargetMode="External"/><Relationship Id="rIdl9l25hdfu5dltngbfanal" Type="http://schemas.openxmlformats.org/officeDocument/2006/relationships/hyperlink" Target="https://dalil.kg/document/157489" TargetMode="External"/><Relationship Id="rIdu-iuy3gjosfh1otjzmv28" Type="http://schemas.openxmlformats.org/officeDocument/2006/relationships/hyperlink" Target="https://dalil.kg/document/59733" TargetMode="External"/><Relationship Id="rId8hs0wtu1bdbtvzsr5n3c-" Type="http://schemas.openxmlformats.org/officeDocument/2006/relationships/hyperlink" Target="https://dalil.kg/document/59738" TargetMode="External"/><Relationship Id="rIdz6pvfoilw8m4ahgtvfnst" Type="http://schemas.openxmlformats.org/officeDocument/2006/relationships/hyperlink" Target="https://dalil.kg/document/1216" TargetMode="External"/><Relationship Id="rIdzf5j9ylkjireebdp0bu4r" Type="http://schemas.openxmlformats.org/officeDocument/2006/relationships/hyperlink" Target="https://dalil.kg/document/55038" TargetMode="External"/><Relationship Id="rIdlrfuxqlftjlwrpah11gir" Type="http://schemas.openxmlformats.org/officeDocument/2006/relationships/hyperlink" Target="https://dalil.kg/document/55079" TargetMode="External"/><Relationship Id="rIdteb3pkwhlgna7zjwvitpj" Type="http://schemas.openxmlformats.org/officeDocument/2006/relationships/hyperlink" Target="https://dalil.kg/document/157558" TargetMode="External"/><Relationship Id="rIdqmkms_cd9gmmc67sesdkc" Type="http://schemas.openxmlformats.org/officeDocument/2006/relationships/hyperlink" Target="https://dalil.kg/document/55038" TargetMode="External"/><Relationship Id="rIdy-ihklmongziwkfwwh5xz" Type="http://schemas.openxmlformats.org/officeDocument/2006/relationships/hyperlink" Target="https://dalil.kg/document/5507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veoyhrmokqe8z9q17kd" Type="http://schemas.openxmlformats.org/officeDocument/2006/relationships/hyperlink" Target="https://dalil.kg/document/200841" TargetMode="External"/><Relationship Id="rIdmoqbutk_jl5zmvkjky7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2026-09-29T19:08:26.778Z</dcterms:created>
  <dcterms:modified xsi:type="dcterms:W3CDTF">2026-09-29T19:08:26.778Z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