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s0h8hzlgavokq8tajzjv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 Бишкек, Дом Правительстваот 8 декабря 2005 года № 565            ПОСТАНОВЛЕНИЕ ПРАВИТЕЛЬСТВА КЫРГЫЗСКОЙ РЕСПУБЛИКИ            О заключении Правительства Кыргызской Республики                на проект Закона Кыргызской Республики          «О приграничных военизированных населенных пунктах»                                      В  соответствии  с  пунктом  5  статьи  65  </w:t>
      </w:r>
      <w:hyperlink w:history="1" r:id="rIdhzneudorpbvo03ldnkp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 Правительство Кыргызской Республики постановляет:   1.  Не  согласиться  с  проектом Закона  Кыргызской  Республики  «Оприграничных   военизированных  населенных  пунктах»,   инициированнымдепутатами  Жогорку  Кенеша  Кыргызской  Республики  Текебаевым  О.Ч.,Джураевым  М.К.,  Шерниязовым Б.Э. и Иманалиевым  К.К.,  на  основанииприлагаемого заключения.    2.  Направить  настоящее постановление в Жогорку Кенеш  КыргызскойРеспублики.            Премьер-министр                                       Ф.Кулов                                  Заключение                  Правительства Кыргызской Республики                на проект Закона Кыргызской Республики          «О приграничных военизированных населенных пунктах»      В  соответствии  с  пунктом  5 статьи 65  </w:t>
      </w:r>
      <w:hyperlink w:history="1" r:id="rIdwqljz4oluior_lqgzdx6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КыргызскойРеспублики,   рассмотрев  проект  Закона  Кыргызской   Республики   «Оприграничных   военизированных  населенных  пунктах»,   инициированныйдепутатами  Жогорку  Кенеша  Кыргызской  Республики  Текебаевым  О.Ч.,Джураевым  М.К.,  Шерниязовым Б.Э. и Иманалиевым  К.К.,  ПравительствоКыргызской  Республики  не  согласно  на  его  принятие  на  основанииследующих замечаний и предложений.     Представленным  законопроектом предусматривается  образование  натерритории   Кыргызской   Республики   административно-территориальныхединиц,  которым  будет  устанавливаться особый  статус  «приграничныйвоенизированный населенный пункт», с целью « а укрепления приграничныхтерриторий,   а  также  обеспечения  государственной  безопасности   ицелостности   государственной   границы.   Это   противоречит   </w:t>
      </w:r>
      <w:hyperlink w:history="1" r:id="rIdgwdzyjmlictanc57rln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  Республики  "О государственной  границе",  в  частности  вЗаконе сказано:     -  статья  24: «- органы местной государственной администрации  иместного  самоуправления  создают условия  и  содействуют  привлечениюграждан  на  добровольных  началах к  охране  государственной  границыКыргызской Республики»;   -  статья  27:  «-  юридические  лица  обязаны  создавать  условия,содействовать  привлечению  своих  сотрудников,  членов   общественныхобъединений к охране государственной границы на добровольных началах»;   -  статья 28: «Граждане Кыргызской Республики могут на добровольныхначалах   участвовать  в  охране  государственной  фаницы   КыргызскойРеспублики в составе добровольных дружин по охране границы, а также  вкачестве   внештатных   сотрудников  Пограничной   службы   КыргызскойРеспублики  и  в  иных формах. Порядок привлечения  граждан  к  охранегосударственной    границы    Кыргызской    Республики    определяетсяПравительством Кыргызской Республики».   Статьей  11  </w:t>
      </w:r>
      <w:hyperlink w:history="1" r:id="rIdtqp0hqjgubcpqbc4g-b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 «О  пограничной  службе»Пограничным   войскам  Службы  национальной  безопасности   КыргызскойРеспублики  предоставляется право «- создавать  в  населенных  пунктахпограничных районов и в пунктах пропуска через государственную границудобровольные  формирования из местных жителей  для  участия  в  охранегосударственной границы».   Следует  отметить, что Кыргызская Республика, имея общие границы  стакими государствами, как Республика Казахстан, Республика Узбекистан,Республика Таджикистан и Китайская Народная Республика, в соответствиис  пунктом 1 статьи 9 </w:t>
      </w:r>
      <w:hyperlink w:history="1" r:id="rIdni8fnqifcfuc4ee25rw8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не имеет целейэкспансии¬  агрессии  и территориальных притязаний,  решаемых  военнойсилой,   отвергает  милитаризацию  государственной  жизни,  подчинениегосударства, его деятельности задачам ведения войны.   Таким   образом,   вышеуказанные  государства,   подтверждая   своюприверженность  Уставу ООН и принципам международного права,  являютсяучастниками  Декларации об усилении эффективности принципа  отказа  отугрозы силой или ее применения в международных отношениях от 18 ноября1987  года, Договора о коллективной безопасности от 15 мая 1992  года,Декларации о неприкосновенности границ от 7 августа 1993 года и другихмежгосударственных   соглашений  и   договоров   по   безопасности   исотрудничеству в регионе.   Также   отмечаем,   что   государства,  граничащие   с   КыргызскойРеспубликой,  являются  членами Шанхайской организации  сотрудничества(ШОС),   Содружества   Независимых  Государств   (СНГ),   Евразийскогоэкономического сообщества (ЕврАзЭС).   Кроме  того,  полномочия  по осуществлению  общественного  порядка,безопасности  личности  и  борьбы  с преступностью  в  соответствии  сзаконодательством Кыргызской Республики возложены на органы внутреннихдел, что исключает создание на местах отрядов ополченцев.   В  проекте  Закона  не  определена роль  Пограничных  войск  Службынациональной   безопасности  Кыргызской  Республики,   которые   несутосновную   нагрузку  в  обеспечении  охраны  государственной   границыКыргызской  Республики, в том числе и в вопросах создания приграничныхвоенизированных   населенных  пунктов.  Также  не  отражены   роль   ивзаимодействие  других  органов государственной  власти  республики  вданном вопросе.   Применение  термина «военизированные населенные пункты» (статьи  5,6,  7,  8 и 9 законопроекта), наличие на территории республики  каких-либо  воинских  формирований  противоречат  статье  </w:t>
      </w:r>
      <w:hyperlink w:history="1" r:id="rIddpyklvpabkcz_i5q-vz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  «Об  обороне»,  где определен  перечень  формирований  (намирное  время) и указано, что «Существование и создание  в  КыргызскойРеспублике иных воинских формирований преследуется по закону».   Согласно  Концепции национальной безопасности Кыргызской Республикицелесообразно    вместо    термина   «государственная    безопасность»использовать термин «национальная безопасность».   Кроме  того,  предлагаем абзац 1 статьи 1 законопроекта  исключить,так   как  населенные  пункты,  расположенные  преимущественно  вблизигосударственной  границы, определяются в соответствии  со  статьей  18</w:t>
      </w:r>
      <w:hyperlink w:history="1" r:id="rIdo-a96dyghvqx-_td-ub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 «О государственной  границе  КыргызскойРеспублики», в которой, в частности говорится: «В целях обеспечения нагосударственной  границе  Кыргызской  Республики  надлежащего  порядкаПравительством Кыргызской Республики устанавливаются пограничная  зонаи   пограничная   полоса.  Пограничная  зона   -   полоса   местности,устанавливаемая   Правительством   Кыргызской   Республики   в   целяхобеспечения надлежащего порядка на государственной границе в  пределахтерритории   района,  города,  аила,  прилегающих  к   государственнойгранице».   По  абзацу 2 статьи 1. Применение особого режима проживания гражданнедопустимо, так как особый правовой режим имеет временный характер  ивводится на основании Конституции Кыргызской Республики путем введениячрезвычайного (</w:t>
      </w:r>
      <w:hyperlink w:history="1" r:id="rIdaq0jkpobfec40g6ldpo8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чрезвычайном положении»)или   военного  положения  (</w:t>
      </w:r>
      <w:hyperlink w:history="1" r:id="rIdcdbcn3-ywwdyxygkgi7v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«О  военномположении»),   Статью   2  предлагаем  исключить,  так  как  перечень  и   границыприграничных  населенных пунктов определяются на основании  статьи  18</w:t>
      </w:r>
      <w:hyperlink w:history="1" r:id="rId7rwbszqksvd58enugmd1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 «О государственной  границе  КыргызскойРеспублики»,  как  это  было отмечено выше и  иных  подзаконных  актовКыргызской  Республики, вытекающих из указанной статьи  (</w:t>
      </w:r>
      <w:hyperlink w:history="1" r:id="rIdcwekltvrgfyt2b1b2eu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 от 15 мая 2004  года  №  362  «Обустановлении  пограничного  режима в пограничной  зоне  и  пограничнойполосе Кыргызской Республики»).   Статья  3  законопроекта,  где предусматривается  ограничение  правграждан (ссылка на пункт 2 абзац 2 статьи 4 законопроекта «ограничениеколичества   граждан,   проживающих  в  приграничных   военизированныхнаселенных  пунктах,  одновременно  выезжающих  за  территорию  своегонаселенного  пункта»),  противоречит пункту 8  статьи  16  </w:t>
      </w:r>
      <w:hyperlink w:history="1" r:id="rIdc5o01ic-ncliwpsl0e_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  Республики,  где определено, что «Каждый  имеет  право  насвободу  передвижения, выбор места пребывания и жительства в  пределахтерритории Кыргызской Республики».   По статье 4 - нецелесообразность данной статьи обосновано выше.   По  статье 5. Она дублирует </w:t>
      </w:r>
      <w:hyperlink w:history="1" r:id="rId2zzwfra9yabskznb_f5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оружии"и   ограничивает   применение   оружия  на   территории   приграничныхвоенизированных населенных пунктов. Предлагаем данную статью  изложитьв  следующей  редакции:  «Порядок приобретения,  хранения,  ношения  иприменения  оружия осуществляется в соответствии с </w:t>
      </w:r>
      <w:hyperlink w:history="1" r:id="rId7aiiqdcgzdhmn_nvv6n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 «Об оружии».   По статье 6. Предлагаем данную статью исключить, так как в абзаце 1не  указана категория лиц в возрасте от 18 до 45 лет, привлекаемых  навоенно-физическую  и  боевую подготовку, то есть мужское  или  женскоенаселение,  контингент  лиц, освобождаемых от  планируемых  сборов  поразличным причинам. Кроме того, в абзаце 2 говорится, что объем военно-физической  и боевой подготовки определяется Правительством КыргызскойРеспублики.   Исключением   являются  случаи   введения   казарменногоположения,  при  котором порядок прохождения, сроки  и  объем  военно-физической и боевой подготовки определяются в соответствии  с  Уставомвнутренней  службы  Вооруженных  Сил  Кыргызской  Республики,  что  несоответствует   действительности.  К  примеру,  в  Вооруженных   СилахКыргызской Республики порядок прохождения планируемых сборов, а  такжесроки  и  объем  сборов  и  боевой подготовки  определяются  ежегоднымприказом   соответствующего  министерства  или  ведомства   КыргызскойРеспублики.   По   статье   7.  Использование  термина  «казарменное   положение»недопустимо,  так  как «казарменное положение» является  исключительноспецифическим военным термином. При этом, в предлагаемой статье термин«казарменное  положение» означает ограничение  прав  граждан  в  целяхобеспечения  безопасности в случае реальной или потенциальной  угрозы,что  противоречит  действующим нормативным правовым  актам  КыргызскойРеспублики.  Нормативными  правовыми актами  Кыргызской  Республики  вобласти  обеспечения  безопасности, офаничивающими  права  граждан  наосновании  Конституции  Кыргызской Республики, являются  исключительнозаконы  Кыргызской Республики </w:t>
      </w:r>
      <w:hyperlink w:history="1" r:id="rId5wilruiw54d1cif5cijl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 чрезвычайном положении»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tdwxmqu7mdr6_ipthp6f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  военном</w:t>
        </w:r>
      </w:hyperlink>
      <w:hyperlink w:history="1" r:id="rIdm4ms8vsgcidl3kn_de7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положении»</w:t>
        </w:r>
      </w:hyperlink>
      <w:r>
        <w:rPr>
          <w:rFonts w:ascii="Arial" w:cs="Arial" w:eastAsia="Arial" w:hAnsi="Arial"/>
          <w:sz w:val="24"/>
          <w:szCs w:val="24"/>
        </w:rPr>
        <w:t xml:space="preserve">.   Статья  8  законопроекта противоречит статье  3  </w:t>
      </w:r>
      <w:hyperlink w:history="1" r:id="rId7rkx4b5anjuj7e5czkq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 «О статусе военнослужащих», в которой сказано, что  «Статусвоеннослужащих  граждане  Кыргызской  Республики  приобретают  со  дняпризыва (поступления в добровольном порядке и по контракту) на военнуюслужбу  или  призыва  на  сборы и утрачивают с увольнением  с  военнойслужбы  (со  дня исключения из списков воинской части)  или  окончаниясборов...».   По  статье  9.  Учитывая, что граждане, проживающие  на  территориивоенизированных населенных пунктов, оказывают содействие в  укреплениигосударственной  границы,  целесообразно  их  подчинить   командуюшемуПограничными  войсками  Службы  национальной  безопасности  КыргызскойРеспублики,  а  полномочия  определять по  решению  Пограничных  войскСлужбы   национальной  безопасности  Кыргызской  Республики  отдельнымположением.   При  подготовке  законопроекта не в полной мере  учтены  требования</w:t>
      </w:r>
      <w:hyperlink w:history="1" r:id="rIdmatjnnvg2lbeq1qrmgi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«Об  оружии»,  который  запрещает   натерритории   республики  ношение  гражданами   в   целях   самоооороныогнестрельного  и  холодного  оружия,  за  исключением   случаев   егоперевозки  или  транспортировки. Данное  условие  также  не  исключаетвозможности   незаконного  применения  оружия  жителями   приграничныхвоенизированных  населенных пунктов при проведении  митингов,  уличныхшествий,  демонстраций,  пикетирования  и  друтих  массовых  публичныхмероприятий.   Одними  из  целей законопроекта являются приостановление внутреннеймиграции  среди  населения  приграничных  территорий  и  создание   имнеобходимых условий для постоянного проживания.   В этих целях проект Закона должен содержать определенные привилегиии  льготы для этой категорий граждан (ипотечное кредитование, льготноеналогообложение  и т.д.). Однако, в рассматриваемом  проекте  заложенылишь  обязанности граждан, при этом нормы по льготам и привилегиям,  атакже иные нормы несут отсылочный характер.   На  основании  вышеизложенного полагаем, поскольку законопроект  неимеет  четкого  варианта и структурного фундамента,  внесение  в  негокаких-либо конкретных предложений не представляется возможным. В связис  чем  Правительство  Кыргызской  Республики  считает,  что  в  целяхукрепления  государственной границы и повышения уровня  жизни  гражданприграничных  районов  путем  наделения их  соответствующими  правами,обязанностями,  льготами, а также проведение  в  рамках  предлагаемогозаконопроекта   иных  мероприятий,  отвечающих  интересам   КыргызскойРеспублики,   нецелесообразным  и  предлагает   внести   изменения   внормативные  правовые акты Кыргызской Республики, к примеру,  в  </w:t>
      </w:r>
      <w:hyperlink w:history="1" r:id="rId62fd-57moi3pa5ix8ws8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«О государственной границе».      Премьер-министр                                    Ф.Кулов     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0h8hzlgavokq8tajzjv8" Type="http://schemas.openxmlformats.org/officeDocument/2006/relationships/hyperlink" Target="http://kodeks.duckdns.org/document/159126" TargetMode="External"/><Relationship Id="rIdhzneudorpbvo03ldnkptz" Type="http://schemas.openxmlformats.org/officeDocument/2006/relationships/hyperlink" Target="http://kodeks.duckdns.org/document/1" TargetMode="External"/><Relationship Id="rIdwqljz4oluior_lqgzdx6h" Type="http://schemas.openxmlformats.org/officeDocument/2006/relationships/hyperlink" Target="http://kodeks.duckdns.org/document/1" TargetMode="External"/><Relationship Id="rIdgwdzyjmlictanc57rlnnf" Type="http://schemas.openxmlformats.org/officeDocument/2006/relationships/hyperlink" Target="http://kodeks.duckdns.org/document/194" TargetMode="External"/><Relationship Id="rIdtqp0hqjgubcpqbc4g-bcx" Type="http://schemas.openxmlformats.org/officeDocument/2006/relationships/hyperlink" Target="http://kodeks.duckdns.org/document/195" TargetMode="External"/><Relationship Id="rIdni8fnqifcfuc4ee25rw8f" Type="http://schemas.openxmlformats.org/officeDocument/2006/relationships/hyperlink" Target="http://kodeks.duckdns.org/document/1" TargetMode="External"/><Relationship Id="rIddpyklvpabkcz_i5q-vzav" Type="http://schemas.openxmlformats.org/officeDocument/2006/relationships/hyperlink" Target="http://kodeks.duckdns.org/document/735" TargetMode="External"/><Relationship Id="rIdo-a96dyghvqx-_td-ubof" Type="http://schemas.openxmlformats.org/officeDocument/2006/relationships/hyperlink" Target="http://kodeks.duckdns.org/document/194" TargetMode="External"/><Relationship Id="rIdaq0jkpobfec40g6ldpo8f" Type="http://schemas.openxmlformats.org/officeDocument/2006/relationships/hyperlink" Target="http://kodeks.duckdns.org/document/142" TargetMode="External"/><Relationship Id="rIdcdbcn3-ywwdyxygkgi7v3" Type="http://schemas.openxmlformats.org/officeDocument/2006/relationships/hyperlink" Target="http://kodeks.duckdns.org/document/133" TargetMode="External"/><Relationship Id="rId7rwbszqksvd58enugmd1y" Type="http://schemas.openxmlformats.org/officeDocument/2006/relationships/hyperlink" Target="http://kodeks.duckdns.org/document/194" TargetMode="External"/><Relationship Id="rIdcwekltvrgfyt2b1b2eukt" Type="http://schemas.openxmlformats.org/officeDocument/2006/relationships/hyperlink" Target="http://kodeks.duckdns.org/document/55394" TargetMode="External"/><Relationship Id="rIdc5o01ic-ncliwpsl0e_td" Type="http://schemas.openxmlformats.org/officeDocument/2006/relationships/hyperlink" Target="http://kodeks.duckdns.org/document/1" TargetMode="External"/><Relationship Id="rId2zzwfra9yabskznb_f5lw" Type="http://schemas.openxmlformats.org/officeDocument/2006/relationships/hyperlink" Target="http://kodeks.duckdns.org/document/214" TargetMode="External"/><Relationship Id="rId7aiiqdcgzdhmn_nvv6nkm" Type="http://schemas.openxmlformats.org/officeDocument/2006/relationships/hyperlink" Target="http://kodeks.duckdns.org/document/214" TargetMode="External"/><Relationship Id="rId5wilruiw54d1cif5cijl-" Type="http://schemas.openxmlformats.org/officeDocument/2006/relationships/hyperlink" Target="http://kodeks.duckdns.org/document/142" TargetMode="External"/><Relationship Id="rIdtdwxmqu7mdr6_ipthp6f6" Type="http://schemas.openxmlformats.org/officeDocument/2006/relationships/hyperlink" Target="http://kodeks.duckdns.org/document/133" TargetMode="External"/><Relationship Id="rIdm4ms8vsgcidl3kn_de7ez" Type="http://schemas.openxmlformats.org/officeDocument/2006/relationships/hyperlink" Target="http://kodeks.duckdns.org/document/133" TargetMode="External"/><Relationship Id="rId7rkx4b5anjuj7e5czkqtl" Type="http://schemas.openxmlformats.org/officeDocument/2006/relationships/hyperlink" Target="http://kodeks.duckdns.org/document/817" TargetMode="External"/><Relationship Id="rIdmatjnnvg2lbeq1qrmgifk" Type="http://schemas.openxmlformats.org/officeDocument/2006/relationships/hyperlink" Target="http://kodeks.duckdns.org/document/214" TargetMode="External"/><Relationship Id="rId62fd-57moi3pa5ix8ws8g" Type="http://schemas.openxmlformats.org/officeDocument/2006/relationships/hyperlink" Target="http://kodeks.duckdns.org/document/194" TargetMode="External"/><Relationship Id="rId7" Type="http://schemas.openxmlformats.org/officeDocument/2006/relationships/image" Target="media/93bec1c1538034512fe33c1434ae0ea86b639d33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2026-09-23T07:38:05.104Z</dcterms:created>
  <dcterms:modified xsi:type="dcterms:W3CDTF">2026-09-23T07:38:05.104Z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