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wxqrx42x9np6fmuphx7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29 декабря 2006 года № 232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 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5</w:t>
      </w:r>
    </w:p>
    <w:p>
      <w:r>
        <w:rPr>
          <w:rFonts w:ascii="Arial" w:cs="Arial" w:eastAsia="Arial" w:hAnsi="Arial"/>
          <w:sz w:val="24"/>
          <w:szCs w:val="24"/>
        </w:rPr>
        <w:t xml:space="preserve">статьи 88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"5) деньги и иные ценности,  являющиеся предметом взятки или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рабанды, по приговору суда подлежат обращению в доход государства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уголовным законодательством. В случае если лицо доброволь-</w:t>
      </w:r>
    </w:p>
    <w:p>
      <w:r>
        <w:rPr>
          <w:rFonts w:ascii="Arial" w:cs="Arial" w:eastAsia="Arial" w:hAnsi="Arial"/>
          <w:sz w:val="24"/>
          <w:szCs w:val="24"/>
        </w:rPr>
        <w:t xml:space="preserve">но  заявило  о вымогательстве у него взятки и способствовало задержанию</w:t>
      </w:r>
    </w:p>
    <w:p>
      <w:r>
        <w:rPr>
          <w:rFonts w:ascii="Arial" w:cs="Arial" w:eastAsia="Arial" w:hAnsi="Arial"/>
          <w:sz w:val="24"/>
          <w:szCs w:val="24"/>
        </w:rPr>
        <w:t xml:space="preserve">взяткополучателя с поличным,  то предмет взятки возвращается  владельцу</w:t>
      </w:r>
    </w:p>
    <w:p>
      <w:r>
        <w:rPr>
          <w:rFonts w:ascii="Arial" w:cs="Arial" w:eastAsia="Arial" w:hAnsi="Arial"/>
          <w:sz w:val="24"/>
          <w:szCs w:val="24"/>
        </w:rPr>
        <w:t xml:space="preserve">по решению суда;".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42inredq8z47tjr8a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dalil.kg/document/202029</w:t>
      </w:r>
    </w:hyperlink>
  </w:p>
  <w:p>
    <w:pPr>
      <w:spacing w:after="0" w:before="40"/>
      <w:jc w:val="center"/>
    </w:pPr>
    <w:hyperlink w:history="1" r:id="rIdarmhculpitoqmezr7q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qrx42x9np6fmuphx7oq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42inredq8z47tjr8axz" Type="http://schemas.openxmlformats.org/officeDocument/2006/relationships/hyperlink" Target="https://dalil.kg/document/202029" TargetMode="External"/><Relationship Id="rIdarmhculpitoqmezr7qf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2026-09-24T07:36:55.352Z</dcterms:created>
  <dcterms:modified xsi:type="dcterms:W3CDTF">2026-09-24T07:36:55.352Z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