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28 февраля 2007 года № 28                       ЗАКОН КЫРГЫЗСКОЙ РЕСПУБЛИКИ             О внесении дополнения и изменений в Гражданский                     кодекс Кыргызской Республики         Принят Жогорку Кенешем     Кыргызской Республики                         6 февраля 2007 год      Статья 1.      Внести в часть первую </w:t>
      </w:r>
      <w:hyperlink w:history="1" r:id="rIdoqigijajgu67zaf22rvqi">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Республики(Ведомости Жогорку Кенеша Кыргызской Республики,  1996 г.,  № 6, ст.80)следующие дополнение и изменения:      1. </w:t>
      </w:r>
      <w:hyperlink w:history="1" r:id="rIduk4uo5aquug9qhlkyu9qp">
        <w:r>
          <w:rPr>
            <w:rFonts w:ascii="Arial" w:cs="Arial" w:eastAsia="Arial" w:hAnsi="Arial"/>
            <w:color w:val="1D4ED8"/>
            <w:sz w:val="24"/>
            <w:szCs w:val="24"/>
            <w:u w:val="single"/>
          </w:rPr>
          <w:t xml:space="preserve">Статью 324</w:t>
        </w:r>
      </w:hyperlink>
      <w:r>
        <w:rPr>
          <w:rFonts w:ascii="Arial" w:cs="Arial" w:eastAsia="Arial" w:hAnsi="Arial"/>
          <w:sz w:val="24"/>
          <w:szCs w:val="24"/>
        </w:rPr>
        <w:t xml:space="preserve"> дополнить пунктом 3 следующего содержания:      "3. Правила о залоге, содержащиеся в настоящем Кодексе, применяют-ся  к залогу недвижимого имущества (ипотеке) в случаях,  когда законом,регулирующим правоотношения по залогу, не установлены иные правила.".     2. </w:t>
      </w:r>
      <w:hyperlink w:history="1" r:id="rIdoanuzodhz7f2zfxv3fzay">
        <w:r>
          <w:rPr>
            <w:rFonts w:ascii="Arial" w:cs="Arial" w:eastAsia="Arial" w:hAnsi="Arial"/>
            <w:color w:val="1D4ED8"/>
            <w:sz w:val="24"/>
            <w:szCs w:val="24"/>
            <w:u w:val="single"/>
          </w:rPr>
          <w:t xml:space="preserve">Статью 325</w:t>
        </w:r>
      </w:hyperlink>
      <w:r>
        <w:rPr>
          <w:rFonts w:ascii="Arial" w:cs="Arial" w:eastAsia="Arial" w:hAnsi="Arial"/>
          <w:sz w:val="24"/>
          <w:szCs w:val="24"/>
        </w:rPr>
        <w:t xml:space="preserve"> изложить в следующей редакции:     "Статья 325. Предмет и виды залога      1. Предметом залога может быть любое имущество, в том числе вещи иправа (требования),  за исключением имущества, изъятого из гражданскогооборота,  прав,  носящих личный характер (право на получение заработнойплаты и т.д.),  требований,  неразрывно связанных с личностью кредитора(требования об алиментах и т.д.), имущества, приватизация которого зап-рещена или в отношении которого в установленном законом порядке предус-мотрена обязательная приватизация,  а также имущества, на которое в со-ответствии с законом не может быть обращено взыскание.     Залог отдельных видов имущества,  в частности,  имущества граждан,на которое не допускается обращение взыскания,  может быть законом зап-рещен или ограничен.     2. Залог может выступать в виде:     залога с передачей заложенной вещи залогодержателю (заклад);     залога с оставлением заложенной вещи у залогодателя;     залога прав.".     3. </w:t>
      </w:r>
      <w:hyperlink w:history="1" r:id="rIdv0plu1ezrkd6jcpu6ijkc">
        <w:r>
          <w:rPr>
            <w:rFonts w:ascii="Arial" w:cs="Arial" w:eastAsia="Arial" w:hAnsi="Arial"/>
            <w:color w:val="1D4ED8"/>
            <w:sz w:val="24"/>
            <w:szCs w:val="24"/>
            <w:u w:val="single"/>
          </w:rPr>
          <w:t xml:space="preserve">Статью 326</w:t>
        </w:r>
      </w:hyperlink>
      <w:r>
        <w:rPr>
          <w:rFonts w:ascii="Arial" w:cs="Arial" w:eastAsia="Arial" w:hAnsi="Arial"/>
          <w:sz w:val="24"/>
          <w:szCs w:val="24"/>
        </w:rPr>
        <w:t xml:space="preserve"> изложить в следующей редакции:     "Статья 326. Залогодатель      1. Залогодателем может быть сам должник по обязательству,  обеспе-ченному залогом, или третье лицо, не участвующее в этом обязательстве.     2. Залогодателем может быть лицо,  обладающее правом собственностиили иным вещным правом на предмет залога. Лицо, которому вещь принадле-жит на праве хозяйственного ведения или оперативного управления, вправезаложить ее с согласия ее собственника.     3. Залогодателем при залоге прав может быть только лицо,  которомупринадлежит закладываемое право.     Залог права аренды или иного права на чужую  вещь  не  допускаетсябез согласия ее собственника,  если законом или договором не предусмот-рено иное.".     4. Пункты 2 и 3 </w:t>
      </w:r>
      <w:hyperlink w:history="1" r:id="rIdaecupzfc4ufzfb9braxwu">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изложить в следующей редакции:     "2. При залоге предприятия,  как имущественного  комплекса,  правозалога  распространяется на все входящее в его состав движимое и недви-жимое имущество,  материальные и нематериальные активы, включая здания,сооружения,  оборудование,  инвентарь,  сырье, готовую продукцию, праватребования,  исключительные права,  в том числе приобретенные в  периодзалога, если иное не предусмотрено законом или договором.     3. При залоге земельного участка, на котором находятся здания, со-оружения  или  жилые строения,  не являющиеся предметом залога по этомудоговору,  часть земельного участка,  занятая этими объектами,  и частьземельного участка, необходимая для их использования, должны быть выде-лены в самостоятельные земельные участки.     При залоге  здания,  сооружения  или  жилого строения право залогараспространяется на земельный участок,  занятый этими  объектами  и  начасть земельного участка, необходимую для их использования. В этом слу-чае на оставшийся земельный участок залог не распространяется.".     5. Пункты 1, 2 и 3 </w:t>
      </w:r>
      <w:hyperlink w:history="1" r:id="rIdzw4cy71besa7vkactc5v0">
        <w:r>
          <w:rPr>
            <w:rFonts w:ascii="Arial" w:cs="Arial" w:eastAsia="Arial" w:hAnsi="Arial"/>
            <w:color w:val="1D4ED8"/>
            <w:sz w:val="24"/>
            <w:szCs w:val="24"/>
            <w:u w:val="single"/>
          </w:rPr>
          <w:t xml:space="preserve">статьи 328</w:t>
        </w:r>
      </w:hyperlink>
      <w:r>
        <w:rPr>
          <w:rFonts w:ascii="Arial" w:cs="Arial" w:eastAsia="Arial" w:hAnsi="Arial"/>
          <w:sz w:val="24"/>
          <w:szCs w:val="24"/>
        </w:rPr>
        <w:t xml:space="preserve"> изложить в следующей редакции:     "1. В договоре о залоге должны быть указаны стороны (ф.и.о. и мес-тожительство),  обеспечиваемое залогом основное обязательство,  предметзалога,  его оценка,  состав,  местонахождение, а также достаточное дляидентификации описание,  право,  в силу которого имущество,  являющеесяпредметом залога, принадлежит залогодателю, с указанием реквизитов пра-воустанавливающего  документа  для недвижимого имущества или имущества,подлежащего регистрации,  размер и срок исполнения обязательства, обес-печиваемого залогом, и иные условия, определяемые соглашением сторон.     Если право залогодержателя удостоверяется закладной, то это должнобыть указано в договоре о залоге.     2. Договор о залоге должен быть заключен в письменной форме.     3. Договор  о залоге недвижимого имущества должен быть нотариальноудостоверен и подлежит государственной регистрации с учетом  особеннос-тей земельного законодательства.     Договор о залоге движимого имущества должен быть нотариально удос-товерен, если залог обеспечивает обязательства по договору, подлежащемунотариальному удостоверению,  а также в случаях, предусмотренных согла-шением сторон.".     6. </w:t>
      </w:r>
      <w:hyperlink w:history="1" r:id="rIdau1gax-kfub8unvownknd">
        <w:r>
          <w:rPr>
            <w:rFonts w:ascii="Arial" w:cs="Arial" w:eastAsia="Arial" w:hAnsi="Arial"/>
            <w:color w:val="1D4ED8"/>
            <w:sz w:val="24"/>
            <w:szCs w:val="24"/>
            <w:u w:val="single"/>
          </w:rPr>
          <w:t xml:space="preserve">Статью 329</w:t>
        </w:r>
      </w:hyperlink>
      <w:r>
        <w:rPr>
          <w:rFonts w:ascii="Arial" w:cs="Arial" w:eastAsia="Arial" w:hAnsi="Arial"/>
          <w:sz w:val="24"/>
          <w:szCs w:val="24"/>
        </w:rPr>
        <w:t xml:space="preserve"> изложить в следующей редакции:     "Статья 329. Последующий залог      1. Последующий залог допускается, если он не запрещен предшествую-щими договорами о залоге того же имущества, действие которых не прекра-тилось к моменту заключения последующего договора о залоге.  Если пред-шествующий договор о залоге предусматривает условия,  на которых  можетбыть заключен последующий договор о залоге,  последний должен быть зак-лючен с соблюдением этих условий.     2. Если имущество,  находящееся в залоге, становится предметом ещеодного залога в обеспечение других требований (последующий залог), тре-бования последующего залогодержателя удовлетворяются из стоимости пред-мета залога после удовлетворения требований предшествующего  залогодер-жателя,  если предыдущий залогодержатель, имеющий преимущественное пра-во,  в письменной форме не договорился с  последующим  залогодержателеминаче.     3. Залогодатель обязан письменно сообщить каждому последующему за-логодержателю сведения обо всех существующих залогах данного имущества,а также о характере и размере обеспеченных этими залогами  обязательстви должен возместить убытки, причиненные залогодержателям вследствие не-исполнения этой обязанности.".     7. В </w:t>
      </w:r>
      <w:hyperlink w:history="1" r:id="rIdxpogckzen_297dlbumioz">
        <w:r>
          <w:rPr>
            <w:rFonts w:ascii="Arial" w:cs="Arial" w:eastAsia="Arial" w:hAnsi="Arial"/>
            <w:color w:val="1D4ED8"/>
            <w:sz w:val="24"/>
            <w:szCs w:val="24"/>
            <w:u w:val="single"/>
          </w:rPr>
          <w:t xml:space="preserve">статье 331</w:t>
        </w:r>
      </w:hyperlink>
      <w:r>
        <w:rPr>
          <w:rFonts w:ascii="Arial" w:cs="Arial" w:eastAsia="Arial" w:hAnsi="Arial"/>
          <w:sz w:val="24"/>
          <w:szCs w:val="24"/>
        </w:rPr>
        <w:t xml:space="preserve">:     абзац второй пункта 2 изложить в следующей редакции:     "Залогодержатель отвечает  за утрату предмета залога в размере егорыночной стоимости,  а за его повреждение выплачивает сумму, на которуюуменьшилась  рыночная  стоимость  заложенного  имущества после порчи посравнению с денежной стоимостью,  согласованной сторонами при  передачезаложенного имущества,  а при отсутствии такого соглашения - по сравне-нию с рыночной стоимостью имущества в момент заклада.";     в абзаце  втором  пункта 3 слова "хозяйственного ведения" заменитьсловами "право пользования".     8. Пункт 1 </w:t>
      </w:r>
      <w:hyperlink w:history="1" r:id="rIdg0fbm-zxkm_fggd2dpant">
        <w:r>
          <w:rPr>
            <w:rFonts w:ascii="Arial" w:cs="Arial" w:eastAsia="Arial" w:hAnsi="Arial"/>
            <w:color w:val="1D4ED8"/>
            <w:sz w:val="24"/>
            <w:szCs w:val="24"/>
            <w:u w:val="single"/>
          </w:rPr>
          <w:t xml:space="preserve">статьи 334</w:t>
        </w:r>
      </w:hyperlink>
      <w:r>
        <w:rPr>
          <w:rFonts w:ascii="Arial" w:cs="Arial" w:eastAsia="Arial" w:hAnsi="Arial"/>
          <w:sz w:val="24"/>
          <w:szCs w:val="24"/>
        </w:rPr>
        <w:t xml:space="preserve"> изложить в следующей редакции:     "1. Взыскание на заложенное имущество для удовлетворения  требова-ний залогодержателя (кредитора) может быть обращено в случае неисполне-ния или ненадлежащего исполнения должником обеспеченного залогом обяза-тельства.".     9. В </w:t>
      </w:r>
      <w:hyperlink w:history="1" r:id="rId_kenrudhl_exufjeqpni-">
        <w:r>
          <w:rPr>
            <w:rFonts w:ascii="Arial" w:cs="Arial" w:eastAsia="Arial" w:hAnsi="Arial"/>
            <w:color w:val="1D4ED8"/>
            <w:sz w:val="24"/>
            <w:szCs w:val="24"/>
            <w:u w:val="single"/>
          </w:rPr>
          <w:t xml:space="preserve">статье 335</w:t>
        </w:r>
      </w:hyperlink>
      <w:r>
        <w:rPr>
          <w:rFonts w:ascii="Arial" w:cs="Arial" w:eastAsia="Arial" w:hAnsi="Arial"/>
          <w:sz w:val="24"/>
          <w:szCs w:val="24"/>
        </w:rPr>
        <w:t xml:space="preserve">:     в абзаце  втором пункта 1 слова "после возникновения оснований дляобращения взыскания на предмет залога" заменить словами "одновременно сдоговором о залоге либо заключенного в период действия договора о зало-ге";     пункт 3 изложить в следующей редакции:     "3. Взыскание на предмет залога может быть обращено только по  ре-шению суда в случае, если заложенное имущество отнесено в установленномзаконодательством порядке к имуществу, имеющему значительную историчес-кую, художественную или иную культурную ценность для общества.".     10. В </w:t>
      </w:r>
      <w:hyperlink w:history="1" r:id="rId7iw60ska0dvsvlpo8h9lt">
        <w:r>
          <w:rPr>
            <w:rFonts w:ascii="Arial" w:cs="Arial" w:eastAsia="Arial" w:hAnsi="Arial"/>
            <w:color w:val="1D4ED8"/>
            <w:sz w:val="24"/>
            <w:szCs w:val="24"/>
            <w:u w:val="single"/>
          </w:rPr>
          <w:t xml:space="preserve">статье 336</w:t>
        </w:r>
      </w:hyperlink>
      <w:r>
        <w:rPr>
          <w:rFonts w:ascii="Arial" w:cs="Arial" w:eastAsia="Arial" w:hAnsi="Arial"/>
          <w:sz w:val="24"/>
          <w:szCs w:val="24"/>
        </w:rPr>
        <w:t xml:space="preserve">:     абзац второй пункта 4 изложить в следующей редакции:     "При объявлении несостоявшимися повторных  торгов  залогодержательвправе  оставить за собой предмет залога (с учетом особенностей обраще-ния взыскания на  заложенные  земельные  участки  сельскохозяйственногоназначения, предусмотренных земельным законодательством Кыргызской Рес-публики) с оценкой его в сумме не более чем на  десять  процентов  нижецены, установленной на повторных торгах.";     абзац третий пункта 4 исключить.     11. </w:t>
      </w:r>
      <w:hyperlink w:history="1" r:id="rId3xopgiz0czkxq-r4kv5sa">
        <w:r>
          <w:rPr>
            <w:rFonts w:ascii="Arial" w:cs="Arial" w:eastAsia="Arial" w:hAnsi="Arial"/>
            <w:color w:val="1D4ED8"/>
            <w:sz w:val="24"/>
            <w:szCs w:val="24"/>
            <w:u w:val="single"/>
          </w:rPr>
          <w:t xml:space="preserve">Статью 337</w:t>
        </w:r>
      </w:hyperlink>
      <w:r>
        <w:rPr>
          <w:rFonts w:ascii="Arial" w:cs="Arial" w:eastAsia="Arial" w:hAnsi="Arial"/>
          <w:sz w:val="24"/>
          <w:szCs w:val="24"/>
        </w:rPr>
        <w:t xml:space="preserve"> изложить в следующей редакции:     "Статья 337. Досрочное исполнение обязательства, обеспеченного                  залогом, и обращение взыскания на заложенное                  имущество      Залогодержатель вправе потребовать досрочного  исполнения  обеспе-ченного залогом обязательства,  а если его требование не будет удовлет-ворено, обратить взыскание на предмет залога в случаях:     1) нарушения  залогодателем правил о распоряжении предметом залогаили если предмет залога выбыл из владения залогодателя;     2) нарушения  залогодателем  правил  о  замене  или восстановлениипредмета залога;     3) утраты предмета залога по обстоятельствам, за которые залогода-тель не отвечает, если залогодатель не воспользовался правом замены иливосстановления предмета залога;     4) нарушения залогодателем правил о последующем залоге;     5) нарушения залогодателем обязанностей по содержанию и сохраннос-ти предмета залога;     6) нарушения  залогодателем обязанностей по предупреждению залого-держателя о правах третьих лиц на предмет залога;     7) в  иных случаях,  предусмотренных законом или договором о зало-ге.".     12. В  пункте  4  </w:t>
      </w:r>
      <w:hyperlink w:history="1" r:id="rIdbt7fs0l2fohrikkfnkm-e">
        <w:r>
          <w:rPr>
            <w:rFonts w:ascii="Arial" w:cs="Arial" w:eastAsia="Arial" w:hAnsi="Arial"/>
            <w:color w:val="1D4ED8"/>
            <w:sz w:val="24"/>
            <w:szCs w:val="24"/>
            <w:u w:val="single"/>
          </w:rPr>
          <w:t xml:space="preserve">статьи  339</w:t>
        </w:r>
      </w:hyperlink>
      <w:r>
        <w:rPr>
          <w:rFonts w:ascii="Arial" w:cs="Arial" w:eastAsia="Arial" w:hAnsi="Arial"/>
          <w:sz w:val="24"/>
          <w:szCs w:val="24"/>
        </w:rPr>
        <w:t xml:space="preserve"> слово "коммунальных" заменить словом"муниципальных".      Статья 2.      Настоящий Закон вступает в силу со дня официального опубликования.      Президент Кыргызской Республики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qigijajgu67zaf22rvqi" Type="http://schemas.openxmlformats.org/officeDocument/2006/relationships/hyperlink" Target="http://kodeks.duckdns.org/document/4" TargetMode="External"/><Relationship Id="rIduk4uo5aquug9qhlkyu9qp" Type="http://schemas.openxmlformats.org/officeDocument/2006/relationships/hyperlink" Target="http://kodeks.duckdns.org/document/4#47" TargetMode="External"/><Relationship Id="rIdoanuzodhz7f2zfxv3fzay" Type="http://schemas.openxmlformats.org/officeDocument/2006/relationships/hyperlink" Target="http://kodeks.duckdns.org/document/4#48" TargetMode="External"/><Relationship Id="rIdv0plu1ezrkd6jcpu6ijkc" Type="http://schemas.openxmlformats.org/officeDocument/2006/relationships/hyperlink" Target="http://kodeks.duckdns.org/document/4#49" TargetMode="External"/><Relationship Id="rIdaecupzfc4ufzfb9braxwu" Type="http://schemas.openxmlformats.org/officeDocument/2006/relationships/hyperlink" Target="http://kodeks.duckdns.org/document/4#50" TargetMode="External"/><Relationship Id="rIdzw4cy71besa7vkactc5v0" Type="http://schemas.openxmlformats.org/officeDocument/2006/relationships/hyperlink" Target="http://kodeks.duckdns.org/document/4#51" TargetMode="External"/><Relationship Id="rIdau1gax-kfub8unvownknd" Type="http://schemas.openxmlformats.org/officeDocument/2006/relationships/hyperlink" Target="http://kodeks.duckdns.org/document/4#52" TargetMode="External"/><Relationship Id="rIdxpogckzen_297dlbumioz" Type="http://schemas.openxmlformats.org/officeDocument/2006/relationships/hyperlink" Target="http://kodeks.duckdns.org/document/4#53" TargetMode="External"/><Relationship Id="rIdg0fbm-zxkm_fggd2dpant" Type="http://schemas.openxmlformats.org/officeDocument/2006/relationships/hyperlink" Target="http://kodeks.duckdns.org/document/4#54" TargetMode="External"/><Relationship Id="rId_kenrudhl_exufjeqpni-" Type="http://schemas.openxmlformats.org/officeDocument/2006/relationships/hyperlink" Target="http://kodeks.duckdns.org/document/4#55" TargetMode="External"/><Relationship Id="rId7iw60ska0dvsvlpo8h9lt" Type="http://schemas.openxmlformats.org/officeDocument/2006/relationships/hyperlink" Target="http://kodeks.duckdns.org/document/4#56" TargetMode="External"/><Relationship Id="rId3xopgiz0czkxq-r4kv5sa" Type="http://schemas.openxmlformats.org/officeDocument/2006/relationships/hyperlink" Target="http://kodeks.duckdns.org/document/4#57" TargetMode="External"/><Relationship Id="rIdbt7fs0l2fohrikkfnkm-e" Type="http://schemas.openxmlformats.org/officeDocument/2006/relationships/hyperlink" Target="http://kodeks.duckdns.org/document/4#58"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2026-09-23T00:33:16.558Z</dcterms:created>
  <dcterms:modified xsi:type="dcterms:W3CDTF">2026-09-23T00:33:16.558Z</dcterms:modified>
</cp:coreProperties>
</file>

<file path=docProps/custom.xml><?xml version="1.0" encoding="utf-8"?>
<Properties xmlns="http://schemas.openxmlformats.org/officeDocument/2006/custom-properties" xmlns:vt="http://schemas.openxmlformats.org/officeDocument/2006/docPropsVTypes"/>
</file>