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_hmybq0lgpqcksa1fiw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февраля 2009 года № 57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22 марта 2007 года №35                    ЗАКОН КЫРГЫЗКОЙ РЕСПУБЛИКИ                     О ВНЕСЕНИИ ДОПОЛНЕНИЯ                В ЗАКОН КЫРГЫЗСКОЙ РЕСПУБЛИКИ        «О ГОСУДАРСТВЕННОЙ РЕГИСТРАЦИИ ЮРИДИЧЕСКИХ ЛИЦ»     Принят Жогорку Кенешем    Кыргызской Республики                   6 февраля 2007 года       Статья   1.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 «О  государственной   регистрации   юридических  лиц»  (Ведомости,Жогорку  Кенеша   Кыргызской  Республики, 1996 г„   № 7,  ст. 106)следующее дополнение:      часть  1</w:t>
      </w:r>
    </w:p>
    <w:p>
      <w:r>
        <w:rPr>
          <w:rFonts w:ascii="Arial" w:cs="Arial" w:eastAsia="Arial" w:hAnsi="Arial"/>
          <w:sz w:val="24"/>
          <w:szCs w:val="24"/>
        </w:rPr>
        <w:t xml:space="preserve">статьи  4</w:t>
      </w:r>
    </w:p>
    <w:p>
      <w:r>
        <w:rPr>
          <w:rFonts w:ascii="Arial" w:cs="Arial" w:eastAsia="Arial" w:hAnsi="Arial"/>
          <w:sz w:val="24"/>
          <w:szCs w:val="24"/>
        </w:rPr>
        <w:t xml:space="preserve">после слов «юридического  лица» дополнить словами  « за  исключением   с лучаев,    установленных    законами Кыргызской Республики».       Статья   2.   Настоящий   Закон  вступает   в  силу  со  дня официального опубликования.       Президент  Кыргызской Республики                               К. 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yfavgvlvqkkahs1l1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dalil.kg/document/202069</w:t>
      </w:r>
    </w:hyperlink>
  </w:p>
  <w:p>
    <w:pPr>
      <w:spacing w:after="0" w:before="40"/>
      <w:jc w:val="center"/>
    </w:pPr>
    <w:hyperlink w:history="1" r:id="rIdosr9daaqw9vozrtaoeu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mybq0lgpqcksa1fiwnj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yfavgvlvqkkahs1l16b" Type="http://schemas.openxmlformats.org/officeDocument/2006/relationships/hyperlink" Target="https://dalil.kg/document/202069" TargetMode="External"/><Relationship Id="rIdosr9daaqw9vozrtaoeu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2026-09-24T18:21:46.130Z</dcterms:created>
  <dcterms:modified xsi:type="dcterms:W3CDTF">2026-09-24T18:21:46.130Z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