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6o0a5tw6s4xl55gah2g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пастбищах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d5ibqfcjia2ro64nap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vqw_satqc-c5t0tq18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ovd4d1_uhktzcxrsf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-kfo9-r2vb8yvx4v09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w6tbihxkjywnncc0g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wpz4jlv0fc-ovc9xw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5-августундагы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r3cr7qk8xjwnfqr_2h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пастбищах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пастбищами, их улучшение и использование регулируются Земельным </w:t>
      </w:r>
      <w:hyperlink w:history="1" r:id="rIdmyryv-_9jsvtkem6gdx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а также соответствующим законодательством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государственных органов и органов местного самоуправления Кыргызской Республики, регулирующие отношения в области управления, улучшения и использования пастбищ, кроме пастбищ государственного лесного фонда, должны соответствовать требованиям Земельного </w:t>
      </w:r>
      <w:hyperlink w:history="1" r:id="rIdo1ksg91dngsxbkaffp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настоящего Закона.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применяемые в настоящем Законе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</w:t>
      </w:r>
      <w:r>
        <w:rPr>
          <w:rFonts w:ascii="Arial" w:cs="Arial" w:eastAsia="Arial" w:hAnsi="Arial"/>
          <w:sz w:val="24"/>
          <w:szCs w:val="24"/>
        </w:rPr>
        <w:t xml:space="preserve"> - вид сельскохозяйственных угодий, покрытых травянистой растительностью, используемых в виде подножного корма для выпаса скота и в иных целях, отраженных в земельно-учетных данных.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представительные, исполнительные органы, обеспечивающие решение вопросов местного значения.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в области управления пастбищами, определяемый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комиссия по установлению границ пастбищ</w:t>
      </w:r>
      <w:r>
        <w:rPr>
          <w:rFonts w:ascii="Arial" w:cs="Arial" w:eastAsia="Arial" w:hAnsi="Arial"/>
          <w:sz w:val="24"/>
          <w:szCs w:val="24"/>
        </w:rPr>
        <w:t xml:space="preserve"> - временная государственная комиссия, созданная решением Кабинета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пастбищной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 - сооружения, мосты, дороги, скотопрогонные трассы, скотоостановочные и водопойные площадки, баки для купки овец, кошары и отгороженные места, предназначенные для нужд выпасаемого скота, сезонного проживания, соответствующие сооружения пастухов и иное недвижимое имущество, необходимое для содержания и функционирования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Оптимальная нагрузка</w:t>
      </w:r>
      <w:r>
        <w:rPr>
          <w:rFonts w:ascii="Arial" w:cs="Arial" w:eastAsia="Arial" w:hAnsi="Arial"/>
          <w:sz w:val="24"/>
          <w:szCs w:val="24"/>
        </w:rPr>
        <w:t xml:space="preserve"> - количество единиц скота на площадь, на которой возможно выпасать скот без нанесения ущерба ботаническому составу пастбищного травостоя, его производительности и экологической целостности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Пастбищепользователи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 Кыргызской Республики, имеющие право на использование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Объединение пастбищепользователей</w:t>
      </w:r>
      <w:r>
        <w:rPr>
          <w:rFonts w:ascii="Arial" w:cs="Arial" w:eastAsia="Arial" w:hAnsi="Arial"/>
          <w:sz w:val="24"/>
          <w:szCs w:val="24"/>
        </w:rPr>
        <w:t xml:space="preserve"> - общественная организация на территории местного самоуправления, которая представляет интересы пастбищепользователей соответствующей административно-территориальной единицы в отношении использования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Жайыт комитет</w:t>
      </w:r>
      <w:r>
        <w:rPr>
          <w:rFonts w:ascii="Arial" w:cs="Arial" w:eastAsia="Arial" w:hAnsi="Arial"/>
          <w:sz w:val="24"/>
          <w:szCs w:val="24"/>
        </w:rPr>
        <w:t xml:space="preserve"> - исполнительный орган объединения пастбищепользователей.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сообщества по управлению и использованию пастбищ</w:t>
      </w:r>
      <w:r>
        <w:rPr>
          <w:rFonts w:ascii="Arial" w:cs="Arial" w:eastAsia="Arial" w:hAnsi="Arial"/>
          <w:sz w:val="24"/>
          <w:szCs w:val="24"/>
        </w:rPr>
        <w:t xml:space="preserve"> - план, охватывающий период в пять лет, по управлению и использованию пастбищ, находящихся в государственной собственности.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Ежегодный план использования пастбищ</w:t>
      </w:r>
      <w:r>
        <w:rPr>
          <w:rFonts w:ascii="Arial" w:cs="Arial" w:eastAsia="Arial" w:hAnsi="Arial"/>
          <w:sz w:val="24"/>
          <w:szCs w:val="24"/>
        </w:rPr>
        <w:t xml:space="preserve"> - план, определяющий разрешенное и согласованное использование пастбищ, которые находятся в управлении данного местного самоуправления.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Пастбищный билет</w:t>
      </w:r>
      <w:r>
        <w:rPr>
          <w:rFonts w:ascii="Arial" w:cs="Arial" w:eastAsia="Arial" w:hAnsi="Arial"/>
          <w:sz w:val="24"/>
          <w:szCs w:val="24"/>
        </w:rPr>
        <w:t xml:space="preserve"> - документ, предоставляющий право использования пастбищ для выпаса скота и наделяющий пастбищепользователя статусом члена объединения пастбищепользователей.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пастбищ в иных целях</w:t>
      </w:r>
      <w:r>
        <w:rPr>
          <w:rFonts w:ascii="Arial" w:cs="Arial" w:eastAsia="Arial" w:hAnsi="Arial"/>
          <w:sz w:val="24"/>
          <w:szCs w:val="24"/>
        </w:rPr>
        <w:t xml:space="preserve"> - использование пастбищных ресурсов в других целях, кроме выпаса скота, к которым относятся, но не ограничивается, охота, пчеловодство, сбор лекарственных трав, плодов и ягод, заготовка сена и топлива, добыча общераспространенных полезных ископаемых, установка сооружений связи легкой конструкции (не капитальных), туризм и отдых граждан.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Скотопрогоны</w:t>
      </w:r>
      <w:r>
        <w:rPr>
          <w:rFonts w:ascii="Arial" w:cs="Arial" w:eastAsia="Arial" w:hAnsi="Arial"/>
          <w:sz w:val="24"/>
          <w:szCs w:val="24"/>
        </w:rPr>
        <w:t xml:space="preserve"> - участки пастбищ, определяемые жайыт комитетом, для перегона либо перемещения скота между пастбищами.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Улучшение пастбищ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повышение урожая и качества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Залужение</w:t>
      </w:r>
      <w:r>
        <w:rPr>
          <w:rFonts w:ascii="Arial" w:cs="Arial" w:eastAsia="Arial" w:hAnsi="Arial"/>
          <w:sz w:val="24"/>
          <w:szCs w:val="24"/>
        </w:rPr>
        <w:t xml:space="preserve"> - посев многолетних трав с целью создания травостоя различного хозяйственного использования.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Поверхностное улучшение пастбищ</w:t>
      </w:r>
      <w:r>
        <w:rPr>
          <w:rFonts w:ascii="Arial" w:cs="Arial" w:eastAsia="Arial" w:hAnsi="Arial"/>
          <w:sz w:val="24"/>
          <w:szCs w:val="24"/>
        </w:rPr>
        <w:t xml:space="preserve"> - мероприятие по улучшению пастбищ путем создания культурных пастбищ без полного нарушения дернины.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Коренное улучшение пастбищ</w:t>
      </w:r>
      <w:r>
        <w:rPr>
          <w:rFonts w:ascii="Arial" w:cs="Arial" w:eastAsia="Arial" w:hAnsi="Arial"/>
          <w:sz w:val="24"/>
          <w:szCs w:val="24"/>
        </w:rPr>
        <w:t xml:space="preserve"> - мероприятие по улучшению пастбищ путем уничтожения дернины и последующего залужения.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пастбища</w:t>
      </w:r>
      <w:r>
        <w:rPr>
          <w:rFonts w:ascii="Arial" w:cs="Arial" w:eastAsia="Arial" w:hAnsi="Arial"/>
          <w:sz w:val="24"/>
          <w:szCs w:val="24"/>
        </w:rPr>
        <w:t xml:space="preserve"> - участки пастбищ, на которых проведено поверхностное улучшение, создан хороший травостой путем посева кормовых культур, проводится систематический уход, вносятся удобрения, осуществляется загонная (порционная) пастьба скота.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Кормовые культуры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сельскохозяйственные культуры, выращиваемые с целью использования на корм животным.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 коренного улучшения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сельскохозяйственное угодье, покрытое травянистой растительностью, созданное путем уничтожения дернины и последующего залужения.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Улучшение пастбищной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 - мероприятия, направленные на реконструкцию, ремонт, реабилитацию, строительство объектов пастбищной инфраструктуры.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Малопродуктивные пастбища</w:t>
      </w:r>
      <w:r>
        <w:rPr>
          <w:rFonts w:ascii="Arial" w:cs="Arial" w:eastAsia="Arial" w:hAnsi="Arial"/>
          <w:sz w:val="24"/>
          <w:szCs w:val="24"/>
        </w:rPr>
        <w:t xml:space="preserve"> - пастбища с урожайностью в кормовых единицах менее 0,8 ц/га (для сенокосов и пастбищ), неблагоприятные в мелиоративном отношении и требующие проведения мероприятий по их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yg1jvtfmtw0w4aq-az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-rb5hcu88adrdh8smd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hv7irktfmcgrhwqgti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86hl6_xrfreztr2gsy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69fcdwffkigu7uwwk-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5-августундагы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5y0ndfbbg7kigy29qw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 собственности и установление границ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Пастбища находятся в исключительной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Границы пастбищ должны быть установлены на основе распределения их в границах бывших советских и коллективных хозяйств с учетом границ существующих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в процессе установления границ споров границы участков пастбищ, передаваемых органам местного самоуправления в соответствии со статьей 4 настоящего Закона,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земель, предоставленных колхозам и совхозам по государственному акту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земель, входивших в состав государственного земельного запаса, использовавшихся колхозами и совхозами на основе долгосрочного пользования, в соответствии с материалами по установлению границ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абзаца четвертого настоящей части не распространяются на земли лесного фонда, возвращенные в состав государственного лесного фонда 15 апреля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45v_a7dhc3aac73urjw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2011 года № 254)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Установление границ пастбищ проводится комиссией, образованной местной государственной администрацией. В состав комиссии входят главы исполнительного и представители представительных органов местного самоуправления каждой сопредельной административно-территориальной единицы, представители уполномоченного органа по вопросам окружающей среды, а также лесного хозяйства, специалисты уполномоченного государственного органа в сфере регистрации прав на недвижимое имущество.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Кабинетом Министров Кыргызской Республики может быть создана государственная комиссия по установлению границ пастбищ, уполномоченная разрешать споры, не решенные комиссиями, созданными в соответствии с частью 4 настоящей статьи, либо комиссиями областных рабочих групп, и обеспечивающая подготовку окончательных рекомендаций Кабинету Министров Кыргызской Республики в отношении пастбищных границ. Данная комиссия вправе создать рабочие группы в каждой области, уполномоченные урегулировать споры между органами местного самоуправления, касающиеся пастбищных границ, утверждать и представлять государственной комиссии пастбищные границы, определенные местными комиссиями согласно части 2 настоящей статьи, с учетом настоящих границ административно-территориальных единиц местных айылных аймаков.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свое время переданные в пользование на основе государственного акта пастбища, границы земель, входящие в состав государственного земельного запаса, находятся в ведении соответствующей административно-территориальной единицы.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Утверждение границ пастбищ осуществляется Кабинетом Министров Кыргызской Республики на основании рекомендаций государственной комиссии по установлению границ пастбищ.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2s66ke-mvafoka2kz5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biaxoz9dncizp8dnun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zljfp_rys_xxkgtib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nrou-s2xvjbr_c_5k8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Использование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пастбищ осуществляется в соответствии с планом сообщества по управлению и использованию пастбищ и ежегодным планом использования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пастбищ для выпаса скота осуществляется на основании пастбищных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пастбищ в иных целях осуществляется на основе договоров об использовании пастбищ в иных целях.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zbffhminex9oxbsmcu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4mxb6enpdw1vmi9n_e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местного самоуправления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и контроль за управлением государственными пастбищными угодьями, кроме права распоряжения, передается органам местного самоуправления.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местного самоуправления вправе делегировать полномочия по управлению и использованию пастбищ муниципальным предприятиям.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Представительный орган местного самоуправления утверждает среднесрочный план исполнительного органа местного самоуправления по управлению и использованию пастбищ, заслушивает отчеты о его выполнении.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Вмешательство государственных органов и местной государственной администрации в деятельность органов местного самоуправления по использованию пастбищ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_m6iz4re7wxjcj63cv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lri-koodhuqwbjscp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fhhrcbdhayb5fnctdp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Объединение пастбищепользователей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Местное сообщество создает объединение пастбищепользователей, представляющее интересы владельцев скота и других пользователей пастбищ данной территориальной единицы в отношении пользования и улучшения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Объединения пастбищепользователей могут быть учреждены как органы территориального общественного самоуправления и подлежат государственной регистрации в качестве юридического лица в органах юстиции.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объединения пастбищепользователей вправе требовать от объединения предоставления им любой информации о деятельности объединения.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axh6bjvdmzeqhxpsa85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2biidv7xpu01xwr8ni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uurjce1gfns7qz-gw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zgxmuhzrmym3a-exg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Жайыт комитет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органом объединения пастбищепользователей является жайыт комитет.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Жайыт комитет осуществляет руководство текущей деятельностью объединения пастбищепользователей.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формирования, организация деятельности жайыт комитета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Законоа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83pufjjfpxnejzjcit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План по управлению и использованию пастбищ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Исполнительный орган местного самоуправления разрабатывает План по управлению и использованию пастбищ на среднесрочный период. В плане отражается основная информация, необходимая для обеспечения устойчивого использования пастбищ и информированности всех пользователей об их правах и обязанностях.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плана учитываются планы государственных органов, уполномоченных в сфере охраны окружающей среды.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планы исполнительного органа местного самоуправления по управлению и использованию пастбищ входят следующие компоненты: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карты, на которых обозначены границы пастбищ, площади, выведенные из пользования, и охраняемые территории, скотопрогоны, водопойные места и иные значимые объекты пастбищной инфраструктуры, состояние пастбищ и качество всех пастбищных участков;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оптимальная нагрузка;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по развитию и реконструкции объектов пастбищной инфраструктуры;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план по управлению и использованию пастбищ, их улучшению и реабилитации на период до пяти лет;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обновляемый план управления и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управления и использования пастбищ в иных целях.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исполнительного органа местного самоуправления по управлению и использованию пастбищ обязателен для исполнения всеми пастбищепользователями после его утверждения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yl3rya49acbmih1ox8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3ttr1qflqypvd1sfhy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nbda-vrteb87nktywf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Ежегодный план использования пастбищ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Исполнительный орган местного самоуправления или муниципальное предприятие, которому делегированы полномочия по организации использования пастбищ, ежегодно разрабатывает план использования пастбищ, который прилагается к плану сообщества по управлению и использованию пастбищ и является его неотъемлемой частью. Ежегодный план использования пастбищ должен содержать: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пастбищепользователей, имеющих пастбищные билеты на планируемый год;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скота, на который был выдан пастбищный билет на планируемый год, и список его владельцев-пастухов;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мер, касающихся здоровья животных (вакцинация, купка и т.д.), которые должны соблюдаться пастбищепользователями в качестве условия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мероприятий, направленных на улучшение пастбищ и пастбищной инфраструктуры;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и календарный график, устанавливающие сезонные маршруты выпаса скота, пастбищеоборот, передвижение скота, скотопрогоны и используемые загоны;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лиц, использующих пастбища не для целей выпаса, с указанием разрешенных им видов деятельности, а также мест, в которых им разрешается осуществлять указанные мероприятия;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оплаты по каждому виду пастбищепользования.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Ежегодный план использования пастбищ обязателен для исполнения после утверждения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sa1l29-1k5rn8h8_wa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9ybe4grohh77zqdi4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ho9nb0mj5w5kfgrpu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Взимание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пастбищепользователей осуществляется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Сбор за пользование пастбищными угодьями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pirfesyk7bj9uks_2pe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2011 года № 254)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Пастбищные билеты выдаются исполнительным органом местного самоуправления или муниципальным предприятием, которому делегированы полномочия по организации использования пастбищ, после внесения соответствующего сбора за пользование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допускается внесение сбора за пастбищный билет по частям, не менее 50 процентов общего объема сбора за пользование пастбищными угодьями вносится не позднее 15 апреля, а оставшаяся часть - не позднее 1 ноября текущего года. В случае несвоевременного внесения сбора начисляется пеня за каждый день просрочки в соответствии с </w:t>
      </w:r>
      <w:hyperlink w:history="1" r:id="rIde9izbjjnzuk-9rztztk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сбора за пользование пастбищными угодьями определяется ежегодно для каждой пастбищной системы и для каждого вида пользования пастбищ исполнительным органом местного самоуправления или муниципальным предприятием, которому делегированы полномочия по организации использования пастбищ, не ниже налоговой базовой ставки с учетом оптимальной нагрузки, включается в ежегодные планы использования пастбищ и утверждается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за пользование пастбищными угодьями устанавливается и изменяется в зависимости от поголовья скота и вида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сбора за использование пастбищ в иных целях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сбора за использование данного участка для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сбор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10 июля 2020 года № 76)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10 июля 2020 года № 76)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va3wwx22jglojodegn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mrxutpypvmrle1jby7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farg5t9sfyehaedll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axe5nf2faszylvzp8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Использование средств за пастбищепользование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 пользование пастбищными угодьями поступают в местный бюджет и используются для улучшения пастбищ и пастбищной инфраструктуры.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g9dh4gxxu9z2ssw1aqp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обмена права аренды на пастбищный билет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Пастбищепользователям, имеющим зарегистрированное право на аренду пастбищных угодий, находящихся в государственной собственности, и соблюдавшим ранее установленный порядок использования пастбищ, после введения в действие настоящего Закона надлежит в обязательном порядке произвести обмен их права аренды на пастбищный билет, покрывающий выпас максимального количества животных в соответствии с оптимальной нагрузкой пастбищных площадей, охваченных арендой.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Аренда пастбищ, не заключенная или не зарегистрированная в соответствии с ранее установленными правовыми процедурами, регулирующими использование пастбищ, считается недействительной.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пастбищного билета пастбища подлежат изъятию как используемые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Оценка состояния пастбищ и контроль их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орган, уполномоченный в сфере ведения мониторинга земель, ежегодно осуществляет оценку состояния пастбищных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оценки предоставляются в уполномоченный орган в сфере регулирования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Уполномоченный орган контролирует сохранность природного состояния пастбищ. В случае допущения разрушения природного состояния пастбищ (без учета природных стихий) в соответствии с действующим законодательством Кыргызской Республики виновные привлекаются к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рассмотрения полученных данных уполномоченный государственный орган направляет в соответствующие органы местного самоуправления предписания об устранении нарушений, приводящих к ухудшению состояния пастбищ.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yxvs6k4ktuoo6s17ee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cuv9lzaw1xe9a8ju8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Уполномоченный государственный орган в сфере регулирования пастбищными угодьями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определяет уполномоченный государственный орган, который осуществляет политику по регулированию вопросов пользования пастбищными угодьями, находящимися в исключительной собственности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уполномоченного государственного органа относятся: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законодательства Кыргызской Республики в сфере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государственных стандартов и методов оценки мониторинга состояния и качества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реализацией программ мониторинга состояния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типовых положений, инструкций, правил и других нормативных правовых актов, а также методических материалов по вопросам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применения планов сообществ по управлению и использованию пастбищ объединением пастбищепользователей и ежегодных планов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и жайыт комитетам в использовании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использования пастбищ объединениями пастбищепользователей.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crqm-lcu7xw7lkuedf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em97nqpgefgfhlmcl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vtiwyxdittluaojtw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rqbuzpswsk594qaqc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Запрещение аренды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пастбищ в аренду и субаренду запрещается.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Государственная регистрация права пользования пастбищами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пользования пастбищами органов местного самоуправления в пределах границ, определенных Кабинетом Министров Кыргызской Республики, подлежит в установленном порядке обязательной государственной регистрации.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пользования пастбищами на основании пастбищных билетов более трех лет подлежит обязательной государственной регистрации в уполномоченном государственном органе в сфере регистрации прав на недвижимое имущество.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пастбищами на основании пастбищных билетов на срок менее трех лет также может быть зарегистрировано по желанию держателя билета.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осуществлении государственной регистрации прав на земельные участки, границы которых устанавливаются в соответствии со статьей 3 настоящего Закона, государственный регистрационный орган осуществляет фиксацию границ в соответствии с полученными данными, не проводя дополнительных изысканий.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9ch3t2bvqsqf8dfgd-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9h0uymgos5h2wjgx5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reppnmy3icpive4xd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Разрешение споров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 решаются путем переговоров. Если согласие не достигнуто, спор разрешается в судебном порядке.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aindp4k3moonsibzg7l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Ответственность за нарушение настоящего Закона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пастбищепользователи несут установленную законодательством Кыргызской Республики ответственность за нарушение настоящего Закона и порядка, установленного органами местного самоуправления по управлению и использованию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xoixbtsv2nn1qu6pfcz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o0a5tw6s4xl55gah2gwc" Type="http://schemas.openxmlformats.org/officeDocument/2006/relationships/hyperlink" Target="http://kodeks.duckdns.org/document/230029580" TargetMode="External"/><Relationship Id="rIddd5ibqfcjia2ro64napvk" Type="http://schemas.openxmlformats.org/officeDocument/2006/relationships/hyperlink" Target="http://kodeks.duckdns.org/document/203334" TargetMode="External"/><Relationship Id="rId_vqw_satqc-c5t0tq18ji" Type="http://schemas.openxmlformats.org/officeDocument/2006/relationships/hyperlink" Target="http://kodeks.duckdns.org/document/203520" TargetMode="External"/><Relationship Id="rIdglovd4d1_uhktzcxrsf5k" Type="http://schemas.openxmlformats.org/officeDocument/2006/relationships/hyperlink" Target="http://kodeks.duckdns.org/document/111335" TargetMode="External"/><Relationship Id="rIdp-kfo9-r2vb8yvx4v09qq" Type="http://schemas.openxmlformats.org/officeDocument/2006/relationships/hyperlink" Target="http://kodeks.duckdns.org/document/111957" TargetMode="External"/><Relationship Id="rIdlw6tbihxkjywnncc0gylw" Type="http://schemas.openxmlformats.org/officeDocument/2006/relationships/hyperlink" Target="http://kodeks.duckdns.org/document/112093" TargetMode="External"/><Relationship Id="rIdaowpz4jlv0fc-ovc9xwvd" Type="http://schemas.openxmlformats.org/officeDocument/2006/relationships/hyperlink" Target="http://kodeks.duckdns.org/document/112427" TargetMode="External"/><Relationship Id="rId0r3cr7qk8xjwnfqr_2hzx" Type="http://schemas.openxmlformats.org/officeDocument/2006/relationships/hyperlink" Target="http://kodeks.duckdns.org/document/230011962" TargetMode="External"/><Relationship Id="rIdmyryv-_9jsvtkem6gdxz0" Type="http://schemas.openxmlformats.org/officeDocument/2006/relationships/hyperlink" Target="http://kodeks.duckdns.org/document/8" TargetMode="External"/><Relationship Id="rIdo1ksg91dngsxbkaffploi" Type="http://schemas.openxmlformats.org/officeDocument/2006/relationships/hyperlink" Target="http://kodeks.duckdns.org/document/8" TargetMode="External"/><Relationship Id="rIdxyg1jvtfmtw0w4aq-azrk" Type="http://schemas.openxmlformats.org/officeDocument/2006/relationships/hyperlink" Target="http://kodeks.duckdns.org/document/203334" TargetMode="External"/><Relationship Id="rId7-rb5hcu88adrdh8smdr6" Type="http://schemas.openxmlformats.org/officeDocument/2006/relationships/hyperlink" Target="http://kodeks.duckdns.org/document/203520" TargetMode="External"/><Relationship Id="rIdghv7irktfmcgrhwqgtiq8" Type="http://schemas.openxmlformats.org/officeDocument/2006/relationships/hyperlink" Target="http://kodeks.duckdns.org/document/111957" TargetMode="External"/><Relationship Id="rIdt86hl6_xrfreztr2gsy8r" Type="http://schemas.openxmlformats.org/officeDocument/2006/relationships/hyperlink" Target="http://kodeks.duckdns.org/document/112093" TargetMode="External"/><Relationship Id="rIdc69fcdwffkigu7uwwk-fr" Type="http://schemas.openxmlformats.org/officeDocument/2006/relationships/hyperlink" Target="http://kodeks.duckdns.org/document/112427" TargetMode="External"/><Relationship Id="rIdf5y0ndfbbg7kigy29qw25" Type="http://schemas.openxmlformats.org/officeDocument/2006/relationships/hyperlink" Target="http://kodeks.duckdns.org/document/230011962" TargetMode="External"/><Relationship Id="rId45v_a7dhc3aac73urjwf4" Type="http://schemas.openxmlformats.org/officeDocument/2006/relationships/hyperlink" Target="http://kodeks.duckdns.org/document/203520" TargetMode="External"/><Relationship Id="rIdi2s66ke-mvafoka2kz5fi" Type="http://schemas.openxmlformats.org/officeDocument/2006/relationships/hyperlink" Target="http://kodeks.duckdns.org/document/203334" TargetMode="External"/><Relationship Id="rId5biaxoz9dncizp8dnungr" Type="http://schemas.openxmlformats.org/officeDocument/2006/relationships/hyperlink" Target="http://kodeks.duckdns.org/document/203520" TargetMode="External"/><Relationship Id="rIdvrzljfp_rys_xxkgtibrv" Type="http://schemas.openxmlformats.org/officeDocument/2006/relationships/hyperlink" Target="http://kodeks.duckdns.org/document/111335" TargetMode="External"/><Relationship Id="rId9nrou-s2xvjbr_c_5k8c7" Type="http://schemas.openxmlformats.org/officeDocument/2006/relationships/hyperlink" Target="http://kodeks.duckdns.org/document/230011962" TargetMode="External"/><Relationship Id="rIdpzbffhminex9oxbsmcuqs" Type="http://schemas.openxmlformats.org/officeDocument/2006/relationships/hyperlink" Target="http://kodeks.duckdns.org/document/203520" TargetMode="External"/><Relationship Id="rIdb4mxb6enpdw1vmi9n_eyj" Type="http://schemas.openxmlformats.org/officeDocument/2006/relationships/hyperlink" Target="http://kodeks.duckdns.org/document/112093" TargetMode="External"/><Relationship Id="rId0_m6iz4re7wxjcj63cv-8" Type="http://schemas.openxmlformats.org/officeDocument/2006/relationships/hyperlink" Target="http://kodeks.duckdns.org/document/203520" TargetMode="External"/><Relationship Id="rIdkglri-koodhuqwbjscpxp" Type="http://schemas.openxmlformats.org/officeDocument/2006/relationships/hyperlink" Target="http://kodeks.duckdns.org/document/112093" TargetMode="External"/><Relationship Id="rId3fhhrcbdhayb5fnctdp0p" Type="http://schemas.openxmlformats.org/officeDocument/2006/relationships/hyperlink" Target="http://kodeks.duckdns.org/document/230011962" TargetMode="External"/><Relationship Id="rIdaxh6bjvdmzeqhxpsa8508" Type="http://schemas.openxmlformats.org/officeDocument/2006/relationships/hyperlink" Target="http://kodeks.duckdns.org/document/230011962" TargetMode="External"/><Relationship Id="rIds2biidv7xpu01xwr8nizv" Type="http://schemas.openxmlformats.org/officeDocument/2006/relationships/hyperlink" Target="http://kodeks.duckdns.org/document/203520" TargetMode="External"/><Relationship Id="rIdbvuurjce1gfns7qz-gw2c" Type="http://schemas.openxmlformats.org/officeDocument/2006/relationships/hyperlink" Target="http://kodeks.duckdns.org/document/112093" TargetMode="External"/><Relationship Id="rIdo_zgxmuhzrmym3a-exg1_" Type="http://schemas.openxmlformats.org/officeDocument/2006/relationships/hyperlink" Target="http://kodeks.duckdns.org/document/230011962" TargetMode="External"/><Relationship Id="rIdq83pufjjfpxnejzjcit5f" Type="http://schemas.openxmlformats.org/officeDocument/2006/relationships/hyperlink" Target="http://kodeks.duckdns.org/document/230011962" TargetMode="External"/><Relationship Id="rId2yl3rya49acbmih1ox8k9" Type="http://schemas.openxmlformats.org/officeDocument/2006/relationships/hyperlink" Target="http://kodeks.duckdns.org/document/203520" TargetMode="External"/><Relationship Id="rId23ttr1qflqypvd1sfhyth" Type="http://schemas.openxmlformats.org/officeDocument/2006/relationships/hyperlink" Target="http://kodeks.duckdns.org/document/112093" TargetMode="External"/><Relationship Id="rId4nbda-vrteb87nktywfcn" Type="http://schemas.openxmlformats.org/officeDocument/2006/relationships/hyperlink" Target="http://kodeks.duckdns.org/document/230011962" TargetMode="External"/><Relationship Id="rId4sa1l29-1k5rn8h8_wa0t" Type="http://schemas.openxmlformats.org/officeDocument/2006/relationships/hyperlink" Target="http://kodeks.duckdns.org/document/203520" TargetMode="External"/><Relationship Id="rId7z9ybe4grohh77zqdi41k" Type="http://schemas.openxmlformats.org/officeDocument/2006/relationships/hyperlink" Target="http://kodeks.duckdns.org/document/112093" TargetMode="External"/><Relationship Id="rIdb7ho9nb0mj5w5kfgrpunc" Type="http://schemas.openxmlformats.org/officeDocument/2006/relationships/hyperlink" Target="http://kodeks.duckdns.org/document/230011962" TargetMode="External"/><Relationship Id="rIdpirfesyk7bj9uks_2pe3x" Type="http://schemas.openxmlformats.org/officeDocument/2006/relationships/hyperlink" Target="http://kodeks.duckdns.org/document/203520" TargetMode="External"/><Relationship Id="rIde9izbjjnzuk-9rztztk6r" Type="http://schemas.openxmlformats.org/officeDocument/2006/relationships/hyperlink" Target="http://kodeks.duckdns.org/document/111820" TargetMode="External"/><Relationship Id="rIdlva3wwx22jglojodegnlw" Type="http://schemas.openxmlformats.org/officeDocument/2006/relationships/hyperlink" Target="http://kodeks.duckdns.org/document/203520" TargetMode="External"/><Relationship Id="rId8mrxutpypvmrle1jby7x5" Type="http://schemas.openxmlformats.org/officeDocument/2006/relationships/hyperlink" Target="http://kodeks.duckdns.org/document/111335" TargetMode="External"/><Relationship Id="rIdsnfarg5t9sfyehaedlldn" Type="http://schemas.openxmlformats.org/officeDocument/2006/relationships/hyperlink" Target="http://kodeks.duckdns.org/document/112093" TargetMode="External"/><Relationship Id="rIdd8axe5nf2faszylvzp8ke" Type="http://schemas.openxmlformats.org/officeDocument/2006/relationships/hyperlink" Target="http://kodeks.duckdns.org/document/230011962" TargetMode="External"/><Relationship Id="rIdg9dh4gxxu9z2ssw1aqprd" Type="http://schemas.openxmlformats.org/officeDocument/2006/relationships/hyperlink" Target="http://kodeks.duckdns.org/document/230011962" TargetMode="External"/><Relationship Id="rId_yxvs6k4ktuoo6s17eemh" Type="http://schemas.openxmlformats.org/officeDocument/2006/relationships/hyperlink" Target="http://kodeks.duckdns.org/document/203520" TargetMode="External"/><Relationship Id="rIdvzcuv9lzaw1xe9a8ju8i1" Type="http://schemas.openxmlformats.org/officeDocument/2006/relationships/hyperlink" Target="http://kodeks.duckdns.org/document/111335" TargetMode="External"/><Relationship Id="rIdecrqm-lcu7xw7lkuedf7l" Type="http://schemas.openxmlformats.org/officeDocument/2006/relationships/hyperlink" Target="http://kodeks.duckdns.org/document/203334" TargetMode="External"/><Relationship Id="rIdctem97nqpgefgfhlmcl9j" Type="http://schemas.openxmlformats.org/officeDocument/2006/relationships/hyperlink" Target="http://kodeks.duckdns.org/document/203520" TargetMode="External"/><Relationship Id="rId4evtiwyxdittluaojtw5j" Type="http://schemas.openxmlformats.org/officeDocument/2006/relationships/hyperlink" Target="http://kodeks.duckdns.org/document/112093" TargetMode="External"/><Relationship Id="rIdmzrqbuzpswsk594qaqcvl" Type="http://schemas.openxmlformats.org/officeDocument/2006/relationships/hyperlink" Target="http://kodeks.duckdns.org/document/230011962" TargetMode="External"/><Relationship Id="rIdp9ch3t2bvqsqf8dfgd-k2" Type="http://schemas.openxmlformats.org/officeDocument/2006/relationships/hyperlink" Target="http://kodeks.duckdns.org/document/203334" TargetMode="External"/><Relationship Id="rIdns9h0uymgos5h2wjgx54j" Type="http://schemas.openxmlformats.org/officeDocument/2006/relationships/hyperlink" Target="http://kodeks.duckdns.org/document/203520" TargetMode="External"/><Relationship Id="rIdmfreppnmy3icpive4xd4v" Type="http://schemas.openxmlformats.org/officeDocument/2006/relationships/hyperlink" Target="http://kodeks.duckdns.org/document/230011962" TargetMode="External"/><Relationship Id="rIdaindp4k3moonsibzg7lyg" Type="http://schemas.openxmlformats.org/officeDocument/2006/relationships/hyperlink" Target="http://kodeks.duckdns.org/document/230011962" TargetMode="External"/><Relationship Id="rIdxoixbtsv2nn1qu6pfczrp" Type="http://schemas.openxmlformats.org/officeDocument/2006/relationships/hyperlink" Target="http://kodeks.duckdns.org/document/230011962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2026-09-22T23:46:06.964Z</dcterms:created>
  <dcterms:modified xsi:type="dcterms:W3CDTF">2026-09-22T23:46:06.964Z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