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апреля 2010 года ВП № 23          ДЕКРЕТ ВРЕМЕННОГО ПРАВИТЕЛЬСТВА КЫРГЫЗСКОЙ РЕСПУБЛИКИ                           О защите инвестиций      В целях  обеспечения верховенства закона,  защиты права граждан насвободу экономической деятельности, защиты предпринимательства и инвес-тиций,  улучшения инвестиционного климата в республике и стимулированияпривлечения отечественных и иностранных инвестиций посредством  предос-тавления справедливого,  равного правового режима инвесторам и гарантиизащиты привлеченных ими инвестиций в экономику  Кыргызской  Республики,руководствуясь  Декретом  Временного Правительства </w:t>
      </w:r>
      <w:hyperlink w:history="1" r:id="rId1h6bujazzvy9fgilz3h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 от 7 апреля 2010</w:t>
        </w:r>
      </w:hyperlink>
      <w:hyperlink w:history="1" r:id="rIdlzelbcc5nxjascrbc1y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</w:t>
        </w:r>
      </w:hyperlink>
      <w:r>
        <w:rPr>
          <w:rFonts w:ascii="Arial" w:cs="Arial" w:eastAsia="Arial" w:hAnsi="Arial"/>
          <w:sz w:val="24"/>
          <w:szCs w:val="24"/>
        </w:rPr>
        <w:t xml:space="preserve">, Временное Правительство Кыргызской Республики принимает настоящийДекрет:     1. Временное Правительство Кыргызской Республики гарантирует обес-печение на территории Кыргызской Республики верховенства закона.     2. Экономическая деятельность и предпринимательство  в  КыргызскойРеспублике осуществляются в соответствии с </w:t>
      </w:r>
      <w:hyperlink w:history="1" r:id="rIdgxv69zerkmupa-c-nh3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Рес-публики,  </w:t>
      </w:r>
      <w:hyperlink w:history="1" r:id="rIdqiqhbynzzpu09vhqda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законами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вступившими в  установленномпорядке в силу международными договорами и соглашениями, участником ко-торых является Кыргызская Республика.     3. Иностранным  и отечественным инвестициям в соответствии с </w:t>
      </w:r>
      <w:hyperlink w:history="1" r:id="rIdkdl_ynmz-atia0bnwrq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Зако-</w:t>
        </w:r>
      </w:hyperlink>
      <w:hyperlink w:history="1" r:id="rIdtzbeevbykorsl3l650z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"Об инвестициях в Кыргызской Республике"  га-рантируется и сохраняется справедливый,  равный правовой режим, включаягарантии защиты привлеченных ими инвестиций в экономику Кыргызской Рес-публики.     4. Иностранным гражданам, законно пребывающим в Кыргызской Респуб-лике,  гарантируется  право  на свободу передвижения на территории Кыр-гызской Республики.     5. Временное  Правительство  Кыргызской Республики будет обеспечи-вать исполнение ранее взятых Кыргызской Республикой обязательств в рам-ках вступивших в установленном порядке в силу международных договоров исоглашений Кыргызской Республики.     6. Министерству внутренних дел Кыргызской Республики,  местным го-сударственным администрациям и органам местного самоуправления  принятьсоответствующие  меры  по обеспечению надлежащего исполнения настоящегоДекрета.     7. Установить, что должностные и другие лица, препятствующие прив-лечению инвестиций,  принимающие меры по незаконному захвату  государс-твенного, муниципального, частного, общественного и других форм капита-ла,  включая вмешательство в их деятельность, решение кадровых вопросоворганизаций  либо способствующие другим лицам осуществлять эти действия(рейдерство), понесут уголовную и гражданско-правовую ответственность.     8. Государственному министерству  иностранных дел Кыргызской  Рес-публики и Министерству экономического  развития  Кыргызской  Республикиинформировать  о  настоящем  Декрете мировое сообщество и хозяйствующиесубъекты.     9.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hgxo6z8eywtbnlbyw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dalil.kg/document/202775</w:t>
      </w:r>
    </w:hyperlink>
  </w:p>
  <w:p>
    <w:pPr>
      <w:spacing w:after="0" w:before="40"/>
      <w:jc w:val="center"/>
    </w:pPr>
    <w:hyperlink w:history="1" r:id="rIdznmpizv5_vr24w0d9gd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6bujazzvy9fgilz3hfe" Type="http://schemas.openxmlformats.org/officeDocument/2006/relationships/hyperlink" Target="https://dalil.kg/document/202765" TargetMode="External"/><Relationship Id="rIdlzelbcc5nxjascrbc1ycm" Type="http://schemas.openxmlformats.org/officeDocument/2006/relationships/hyperlink" Target="https://dalil.kg/document/202765" TargetMode="External"/><Relationship Id="rIdgxv69zerkmupa-c-nh3b-" Type="http://schemas.openxmlformats.org/officeDocument/2006/relationships/hyperlink" Target="https://dalil.kg/document/1" TargetMode="External"/><Relationship Id="rIdqiqhbynzzpu09vhqdagsx" Type="http://schemas.openxmlformats.org/officeDocument/2006/relationships/hyperlink" Target="https://dalil.kg/document/252" TargetMode="External"/><Relationship Id="rIdkdl_ynmz-atia0bnwrqhy" Type="http://schemas.openxmlformats.org/officeDocument/2006/relationships/hyperlink" Target="https://dalil.kg/document/1190" TargetMode="External"/><Relationship Id="rIdtzbeevbykorsl3l650zcl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hgxo6z8eywtbnlbywfu" Type="http://schemas.openxmlformats.org/officeDocument/2006/relationships/hyperlink" Target="https://dalil.kg/document/202775" TargetMode="External"/><Relationship Id="rIdznmpizv5_vr24w0d9gd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2026-10-06T23:36:00.443Z</dcterms:created>
  <dcterms:modified xsi:type="dcterms:W3CDTF">2026-10-06T23:36:00.443Z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